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>关于装配式建筑技术问题的台账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216"/>
        <w:gridCol w:w="1584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04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问题1：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注明对应规范条文，可附图、举例说明。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9040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问题2：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71060"/>
    <w:rsid w:val="3D07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20" w:lineRule="exact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kern w:val="2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2021-03-12T08:40:00Z</dcterms:created>
  <dc:creator>泡泡糖</dc:creator>
  <cp:lastModifiedBy>泡泡糖</cp:lastModifiedBy>
  <dcterms:modified xsi:type="dcterms:W3CDTF">2021-03-12T08:41:00Z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