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Lines="100"/>
        <w:jc w:val="center"/>
        <w:rPr>
          <w:rFonts w:hint="eastAsia" w:ascii="宋体" w:hAnsi="宋体" w:eastAsia="宋体" w:cs="宋体"/>
          <w:b/>
          <w:bCs/>
          <w:sz w:val="44"/>
          <w:szCs w:val="44"/>
        </w:rPr>
      </w:pPr>
      <w:bookmarkStart w:id="0" w:name="_Toc477178392"/>
      <w:r>
        <w:rPr>
          <w:rFonts w:hint="eastAsia" w:ascii="宋体" w:hAnsi="宋体" w:eastAsia="宋体" w:cs="宋体"/>
          <w:b/>
          <w:bCs/>
          <w:sz w:val="44"/>
          <w:szCs w:val="44"/>
        </w:rPr>
        <w:t>石家庄市装配式建筑装配率计算</w:t>
      </w:r>
      <w:bookmarkEnd w:id="0"/>
      <w:r>
        <w:rPr>
          <w:rFonts w:hint="eastAsia" w:ascii="宋体" w:hAnsi="宋体" w:eastAsia="宋体" w:cs="宋体"/>
          <w:b/>
          <w:bCs/>
          <w:sz w:val="44"/>
          <w:szCs w:val="44"/>
        </w:rPr>
        <w:t>办法</w:t>
      </w:r>
    </w:p>
    <w:p>
      <w:pPr>
        <w:spacing w:afterLines="100"/>
        <w:jc w:val="center"/>
        <w:rPr>
          <w:rFonts w:ascii="黑体" w:hAnsi="黑体" w:eastAsia="黑体"/>
          <w:sz w:val="32"/>
          <w:szCs w:val="32"/>
        </w:rPr>
      </w:pPr>
      <w:r>
        <w:rPr>
          <w:rFonts w:hint="eastAsia" w:ascii="宋体" w:hAnsi="宋体" w:cs="宋体"/>
          <w:b/>
          <w:bCs/>
          <w:sz w:val="44"/>
          <w:szCs w:val="44"/>
          <w:lang w:eastAsia="zh-CN"/>
        </w:rPr>
        <w:t>（试行）</w:t>
      </w:r>
    </w:p>
    <w:p>
      <w:pPr>
        <w:tabs>
          <w:tab w:val="left" w:pos="709"/>
        </w:tabs>
        <w:ind w:firstLine="560" w:firstLineChars="200"/>
        <w:rPr>
          <w:rFonts w:hint="eastAsia" w:ascii="仿宋_GB2312" w:hAnsi="Arial" w:eastAsia="仿宋_GB2312"/>
          <w:color w:val="333333"/>
          <w:kern w:val="0"/>
          <w:sz w:val="28"/>
          <w:szCs w:val="28"/>
        </w:rPr>
      </w:pPr>
    </w:p>
    <w:p>
      <w:pPr>
        <w:tabs>
          <w:tab w:val="left" w:pos="709"/>
        </w:tabs>
        <w:ind w:firstLine="560" w:firstLineChars="200"/>
        <w:rPr>
          <w:rFonts w:ascii="仿宋_GB2312" w:hAnsi="Arial" w:eastAsia="仿宋_GB2312"/>
          <w:color w:val="333333"/>
          <w:kern w:val="0"/>
          <w:sz w:val="32"/>
          <w:szCs w:val="32"/>
        </w:rPr>
      </w:pPr>
      <w:r>
        <w:rPr>
          <w:rFonts w:hint="eastAsia" w:ascii="仿宋_GB2312" w:hAnsi="Arial" w:eastAsia="仿宋_GB2312"/>
          <w:color w:val="333333"/>
          <w:kern w:val="0"/>
          <w:sz w:val="32"/>
          <w:szCs w:val="32"/>
        </w:rPr>
        <w:t>为贯彻落实《</w:t>
      </w:r>
      <w:r>
        <w:rPr>
          <w:rFonts w:hint="eastAsia" w:ascii="仿宋_GB2312" w:eastAsia="仿宋_GB2312"/>
          <w:sz w:val="32"/>
          <w:szCs w:val="32"/>
        </w:rPr>
        <w:t>河北省人民政府办公厅关于大力发展装配式建筑的实施意见</w:t>
      </w:r>
      <w:r>
        <w:rPr>
          <w:rFonts w:hint="eastAsia" w:ascii="仿宋_GB2312" w:hAnsi="Arial" w:eastAsia="仿宋_GB2312"/>
          <w:color w:val="333333"/>
          <w:kern w:val="0"/>
          <w:sz w:val="32"/>
          <w:szCs w:val="32"/>
        </w:rPr>
        <w:t>》（冀政办字〔2017〕3号）、《石家庄市人民政府办公厅关于加快推进我市建筑产业化的实施意见》（石政办发〔2016〕29号）等相关文件要求，切实做好装配式建筑推进工作，</w:t>
      </w:r>
      <w:r>
        <w:rPr>
          <w:rFonts w:hint="eastAsia" w:ascii="仿宋_GB2312" w:hAnsi="Arial" w:eastAsia="仿宋_GB2312"/>
          <w:color w:val="333333"/>
          <w:kern w:val="0"/>
          <w:sz w:val="32"/>
          <w:szCs w:val="32"/>
          <w:lang w:eastAsia="zh-CN"/>
        </w:rPr>
        <w:t>规范</w:t>
      </w:r>
      <w:r>
        <w:rPr>
          <w:rFonts w:hint="eastAsia" w:ascii="仿宋_GB2312" w:hAnsi="Arial" w:eastAsia="仿宋_GB2312"/>
          <w:color w:val="333333"/>
          <w:kern w:val="0"/>
          <w:sz w:val="32"/>
          <w:szCs w:val="32"/>
        </w:rPr>
        <w:t>装配式建筑装配率的</w:t>
      </w:r>
      <w:r>
        <w:rPr>
          <w:rFonts w:hint="eastAsia" w:ascii="仿宋_GB2312" w:hAnsi="Arial" w:eastAsia="仿宋_GB2312"/>
          <w:color w:val="333333"/>
          <w:kern w:val="0"/>
          <w:sz w:val="32"/>
          <w:szCs w:val="32"/>
          <w:lang w:eastAsia="zh-CN"/>
        </w:rPr>
        <w:t>认定</w:t>
      </w:r>
      <w:r>
        <w:rPr>
          <w:rFonts w:hint="eastAsia" w:ascii="仿宋_GB2312" w:hAnsi="Arial" w:eastAsia="仿宋_GB2312"/>
          <w:color w:val="333333"/>
          <w:kern w:val="0"/>
          <w:sz w:val="32"/>
          <w:szCs w:val="32"/>
        </w:rPr>
        <w:t>，制定</w:t>
      </w:r>
      <w:r>
        <w:rPr>
          <w:rFonts w:hint="eastAsia" w:ascii="仿宋_GB2312" w:hAnsi="Arial" w:eastAsia="仿宋_GB2312"/>
          <w:color w:val="333333"/>
          <w:kern w:val="0"/>
          <w:sz w:val="32"/>
          <w:szCs w:val="32"/>
          <w:lang w:eastAsia="zh-CN"/>
        </w:rPr>
        <w:t>本</w:t>
      </w:r>
      <w:r>
        <w:rPr>
          <w:rFonts w:hint="eastAsia" w:ascii="仿宋_GB2312" w:hAnsi="Arial" w:eastAsia="仿宋_GB2312"/>
          <w:color w:val="333333"/>
          <w:kern w:val="0"/>
          <w:sz w:val="32"/>
          <w:szCs w:val="32"/>
        </w:rPr>
        <w:t>办法</w:t>
      </w:r>
      <w:bookmarkStart w:id="1" w:name="_GoBack"/>
      <w:bookmarkEnd w:id="1"/>
      <w:r>
        <w:rPr>
          <w:rFonts w:hint="eastAsia" w:ascii="仿宋_GB2312" w:hAnsi="Arial" w:eastAsia="仿宋_GB2312"/>
          <w:color w:val="333333"/>
          <w:kern w:val="0"/>
          <w:sz w:val="32"/>
          <w:szCs w:val="32"/>
        </w:rPr>
        <w:t>。</w:t>
      </w:r>
    </w:p>
    <w:p>
      <w:pPr>
        <w:numPr>
          <w:numId w:val="0"/>
        </w:numPr>
        <w:tabs>
          <w:tab w:val="left" w:pos="709"/>
        </w:tabs>
        <w:outlineLvl w:val="0"/>
        <w:rPr>
          <w:rFonts w:ascii="黑体" w:hAnsi="黑体" w:eastAsia="黑体"/>
          <w:color w:val="333333"/>
          <w:kern w:val="0"/>
          <w:sz w:val="32"/>
          <w:szCs w:val="32"/>
        </w:rPr>
      </w:pPr>
      <w:r>
        <w:rPr>
          <w:rFonts w:hint="eastAsia" w:ascii="黑体" w:hAnsi="黑体" w:eastAsia="黑体"/>
          <w:color w:val="333333"/>
          <w:kern w:val="0"/>
          <w:sz w:val="28"/>
          <w:szCs w:val="28"/>
          <w:lang w:val="en-US" w:eastAsia="zh-CN"/>
        </w:rPr>
        <w:t xml:space="preserve">    一、</w:t>
      </w:r>
      <w:r>
        <w:rPr>
          <w:rFonts w:hint="eastAsia" w:ascii="黑体" w:hAnsi="黑体" w:eastAsia="黑体"/>
          <w:color w:val="333333"/>
          <w:kern w:val="0"/>
          <w:sz w:val="32"/>
          <w:szCs w:val="32"/>
        </w:rPr>
        <w:t>一般规定</w:t>
      </w:r>
    </w:p>
    <w:p>
      <w:pPr>
        <w:tabs>
          <w:tab w:val="left" w:pos="709"/>
        </w:tabs>
        <w:ind w:firstLine="560" w:firstLineChars="200"/>
        <w:rPr>
          <w:rFonts w:ascii="仿宋_GB2312" w:hAnsi="Arial" w:eastAsia="仿宋_GB2312"/>
          <w:color w:val="333333"/>
          <w:kern w:val="0"/>
          <w:sz w:val="32"/>
          <w:szCs w:val="32"/>
        </w:rPr>
      </w:pPr>
      <w:r>
        <w:rPr>
          <w:rFonts w:hint="eastAsia" w:ascii="仿宋_GB2312" w:hAnsi="Arial" w:eastAsia="仿宋_GB2312"/>
          <w:color w:val="333333"/>
          <w:kern w:val="0"/>
          <w:sz w:val="32"/>
          <w:szCs w:val="32"/>
        </w:rPr>
        <w:t>1、本《</w:t>
      </w:r>
      <w:r>
        <w:rPr>
          <w:rFonts w:hint="eastAsia" w:ascii="仿宋_GB2312" w:hAnsi="Arial" w:eastAsia="仿宋_GB2312"/>
          <w:color w:val="333333"/>
          <w:kern w:val="0"/>
          <w:sz w:val="32"/>
          <w:szCs w:val="32"/>
          <w:lang w:eastAsia="zh-CN"/>
        </w:rPr>
        <w:t>计算</w:t>
      </w:r>
      <w:r>
        <w:rPr>
          <w:rFonts w:hint="eastAsia" w:ascii="仿宋_GB2312" w:hAnsi="Arial" w:eastAsia="仿宋_GB2312"/>
          <w:color w:val="333333"/>
          <w:kern w:val="0"/>
          <w:sz w:val="32"/>
          <w:szCs w:val="32"/>
        </w:rPr>
        <w:t>办法》适用于我市单体建筑的装配率计算，适用范围包括混凝土结构、钢结构、钢-混凝土组合结构等结构体系。</w:t>
      </w:r>
    </w:p>
    <w:p>
      <w:pPr>
        <w:tabs>
          <w:tab w:val="left" w:pos="709"/>
        </w:tabs>
        <w:ind w:firstLine="560" w:firstLineChars="200"/>
        <w:rPr>
          <w:rFonts w:ascii="仿宋_GB2312" w:hAnsi="Arial" w:eastAsia="仿宋_GB2312"/>
          <w:color w:val="333333"/>
          <w:kern w:val="0"/>
          <w:sz w:val="32"/>
          <w:szCs w:val="32"/>
        </w:rPr>
      </w:pPr>
      <w:r>
        <w:rPr>
          <w:rFonts w:hint="eastAsia" w:ascii="仿宋_GB2312" w:hAnsi="Arial" w:eastAsia="仿宋_GB2312"/>
          <w:color w:val="333333"/>
          <w:kern w:val="0"/>
          <w:sz w:val="32"/>
          <w:szCs w:val="32"/>
        </w:rPr>
        <w:t>2、装配式建筑是指由预制构件、部品部件在施工现场装配而成的建筑。装配式建筑的围护和分隔墙体主要采用非砌筑方式。</w:t>
      </w:r>
    </w:p>
    <w:p>
      <w:pPr>
        <w:tabs>
          <w:tab w:val="left" w:pos="709"/>
        </w:tabs>
        <w:ind w:firstLine="560" w:firstLineChars="200"/>
        <w:rPr>
          <w:rFonts w:ascii="仿宋_GB2312" w:hAnsi="Arial" w:eastAsia="仿宋_GB2312"/>
          <w:color w:val="333333"/>
          <w:kern w:val="0"/>
          <w:sz w:val="32"/>
          <w:szCs w:val="32"/>
        </w:rPr>
      </w:pPr>
      <w:r>
        <w:rPr>
          <w:rFonts w:hint="eastAsia" w:ascii="仿宋_GB2312" w:hAnsi="Arial" w:eastAsia="仿宋_GB2312"/>
          <w:color w:val="333333"/>
          <w:kern w:val="0"/>
          <w:sz w:val="32"/>
          <w:szCs w:val="32"/>
        </w:rPr>
        <w:t>3、建筑单体装配率是指单体建筑±0.000标高以上的预制构件、建筑部品等的应用比率。建筑单体装配率按下式进行计算。</w:t>
      </w:r>
    </w:p>
    <w:tbl>
      <w:tblPr>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1"/>
        <w:gridCol w:w="5953"/>
        <w:gridCol w:w="1468"/>
      </w:tblGrid>
      <w:tr>
        <w:tc>
          <w:tcPr>
            <w:tcW w:w="1101" w:type="dxa"/>
            <w:vAlign w:val="center"/>
          </w:tcPr>
          <w:p>
            <w:pPr>
              <w:widowControl/>
              <w:spacing w:line="240" w:lineRule="auto"/>
              <w:jc w:val="center"/>
              <w:outlineLvl w:val="2"/>
              <w:rPr>
                <w:rFonts w:ascii="仿宋_GB2312" w:eastAsia="仿宋_GB2312"/>
                <w:kern w:val="0"/>
                <w:sz w:val="28"/>
                <w:szCs w:val="28"/>
              </w:rPr>
            </w:pPr>
          </w:p>
        </w:tc>
        <w:tc>
          <w:tcPr>
            <w:tcW w:w="5953" w:type="dxa"/>
            <w:vAlign w:val="center"/>
          </w:tcPr>
          <w:p>
            <w:pPr>
              <w:widowControl/>
              <w:spacing w:line="240" w:lineRule="auto"/>
              <w:jc w:val="center"/>
              <w:outlineLvl w:val="2"/>
              <w:rPr>
                <w:rFonts w:eastAsia="仿宋_GB2312"/>
                <w:kern w:val="0"/>
                <w:sz w:val="28"/>
                <w:szCs w:val="28"/>
              </w:rPr>
            </w:pPr>
            <w:r>
              <w:rPr>
                <w:rFonts w:eastAsia="仿宋_GB2312"/>
                <w:i/>
                <w:kern w:val="0"/>
                <w:sz w:val="28"/>
                <w:szCs w:val="28"/>
              </w:rPr>
              <w:t>Z</w:t>
            </w:r>
            <w:r>
              <w:rPr>
                <w:rFonts w:eastAsia="仿宋_GB2312"/>
                <w:kern w:val="0"/>
                <w:sz w:val="28"/>
                <w:szCs w:val="28"/>
              </w:rPr>
              <w:t>=</w:t>
            </w:r>
            <w:r>
              <w:rPr>
                <w:rFonts w:hint="eastAsia" w:eastAsia="仿宋_GB2312"/>
                <w:kern w:val="0"/>
                <w:sz w:val="28"/>
                <w:szCs w:val="28"/>
              </w:rPr>
              <w:t>（</w:t>
            </w:r>
            <w:r>
              <w:rPr>
                <w:rFonts w:eastAsia="仿宋_GB2312"/>
                <w:i/>
                <w:kern w:val="0"/>
                <w:sz w:val="28"/>
                <w:szCs w:val="28"/>
              </w:rPr>
              <w:t>Y</w:t>
            </w:r>
            <w:r>
              <w:rPr>
                <w:rFonts w:eastAsia="仿宋_GB2312"/>
                <w:kern w:val="0"/>
                <w:sz w:val="28"/>
                <w:szCs w:val="28"/>
              </w:rPr>
              <w:t>+</w:t>
            </w:r>
            <w:r>
              <w:rPr>
                <w:rFonts w:eastAsia="仿宋_GB2312"/>
                <w:i/>
                <w:kern w:val="0"/>
                <w:sz w:val="28"/>
                <w:szCs w:val="28"/>
              </w:rPr>
              <w:t>B</w:t>
            </w:r>
            <w:r>
              <w:rPr>
                <w:rFonts w:eastAsia="仿宋_GB2312"/>
                <w:kern w:val="0"/>
                <w:sz w:val="28"/>
                <w:szCs w:val="28"/>
              </w:rPr>
              <w:t>+</w:t>
            </w:r>
            <w:r>
              <w:rPr>
                <w:rFonts w:eastAsia="仿宋_GB2312"/>
                <w:i/>
                <w:kern w:val="0"/>
                <w:sz w:val="28"/>
                <w:szCs w:val="28"/>
              </w:rPr>
              <w:t>C</w:t>
            </w:r>
            <w:r>
              <w:rPr>
                <w:rFonts w:hint="eastAsia" w:eastAsia="仿宋_GB2312"/>
                <w:kern w:val="0"/>
                <w:sz w:val="28"/>
                <w:szCs w:val="28"/>
              </w:rPr>
              <w:t>）</w:t>
            </w:r>
            <w:r>
              <w:rPr>
                <w:rFonts w:eastAsia="仿宋_GB2312"/>
                <w:kern w:val="0"/>
                <w:sz w:val="28"/>
                <w:szCs w:val="28"/>
              </w:rPr>
              <w:t>×</w:t>
            </w:r>
            <w:r>
              <w:rPr>
                <w:rFonts w:hint="eastAsia" w:eastAsia="仿宋_GB2312"/>
                <w:kern w:val="0"/>
                <w:sz w:val="28"/>
                <w:szCs w:val="28"/>
              </w:rPr>
              <w:t>100%</w:t>
            </w:r>
          </w:p>
        </w:tc>
        <w:tc>
          <w:tcPr>
            <w:tcW w:w="1468" w:type="dxa"/>
            <w:vAlign w:val="center"/>
          </w:tcPr>
          <w:p>
            <w:pPr>
              <w:widowControl/>
              <w:spacing w:line="240" w:lineRule="auto"/>
              <w:jc w:val="center"/>
              <w:outlineLvl w:val="2"/>
              <w:rPr>
                <w:rFonts w:ascii="仿宋_GB2312" w:eastAsia="仿宋_GB2312"/>
                <w:kern w:val="0"/>
                <w:sz w:val="28"/>
                <w:szCs w:val="28"/>
              </w:rPr>
            </w:pPr>
            <w:r>
              <w:rPr>
                <w:rFonts w:hint="eastAsia" w:ascii="仿宋_GB2312" w:eastAsia="仿宋_GB2312"/>
                <w:kern w:val="0"/>
                <w:sz w:val="28"/>
                <w:szCs w:val="28"/>
              </w:rPr>
              <w:t>（式1-1）</w:t>
            </w:r>
          </w:p>
        </w:tc>
      </w:tr>
    </w:tbl>
    <w:p>
      <w:pPr>
        <w:widowControl/>
        <w:ind w:firstLine="560" w:firstLineChars="200"/>
        <w:rPr>
          <w:rFonts w:ascii="仿宋_GB2312" w:eastAsia="仿宋_GB2312"/>
          <w:kern w:val="0"/>
          <w:sz w:val="28"/>
          <w:szCs w:val="28"/>
        </w:rPr>
      </w:pPr>
      <w:r>
        <w:rPr>
          <w:rFonts w:hint="eastAsia" w:ascii="仿宋_GB2312" w:eastAsia="仿宋_GB2312"/>
          <w:kern w:val="0"/>
          <w:sz w:val="28"/>
          <w:szCs w:val="28"/>
        </w:rPr>
        <w:t>式中：</w:t>
      </w:r>
    </w:p>
    <w:p>
      <w:pPr>
        <w:widowControl/>
        <w:ind w:firstLine="1260" w:firstLineChars="450"/>
        <w:rPr>
          <w:rFonts w:ascii="仿宋_GB2312" w:eastAsia="仿宋_GB2312"/>
          <w:kern w:val="0"/>
          <w:sz w:val="28"/>
          <w:szCs w:val="28"/>
        </w:rPr>
      </w:pPr>
      <w:r>
        <w:rPr>
          <w:rFonts w:eastAsia="仿宋_GB2312"/>
          <w:i/>
          <w:kern w:val="0"/>
          <w:sz w:val="28"/>
          <w:szCs w:val="28"/>
        </w:rPr>
        <w:t>Z</w:t>
      </w:r>
      <w:r>
        <w:rPr>
          <w:rFonts w:hint="eastAsia" w:eastAsia="仿宋_GB2312"/>
          <w:i/>
          <w:kern w:val="0"/>
          <w:sz w:val="28"/>
          <w:szCs w:val="28"/>
        </w:rPr>
        <w:t>—</w:t>
      </w:r>
      <w:r>
        <w:rPr>
          <w:rFonts w:hint="eastAsia" w:ascii="仿宋_GB2312" w:eastAsia="仿宋_GB2312"/>
          <w:kern w:val="0"/>
          <w:sz w:val="28"/>
          <w:szCs w:val="28"/>
        </w:rPr>
        <w:t>建筑单体装配率；</w:t>
      </w:r>
    </w:p>
    <w:p>
      <w:pPr>
        <w:widowControl/>
        <w:ind w:firstLine="1260" w:firstLineChars="450"/>
        <w:rPr>
          <w:rFonts w:ascii="仿宋_GB2312" w:eastAsia="仿宋_GB2312"/>
          <w:kern w:val="0"/>
          <w:sz w:val="28"/>
          <w:szCs w:val="28"/>
        </w:rPr>
      </w:pPr>
      <w:r>
        <w:rPr>
          <w:rFonts w:eastAsia="仿宋_GB2312"/>
          <w:i/>
          <w:kern w:val="0"/>
          <w:sz w:val="28"/>
          <w:szCs w:val="28"/>
        </w:rPr>
        <w:t>Y</w:t>
      </w:r>
      <w:r>
        <w:rPr>
          <w:rFonts w:hint="eastAsia" w:eastAsia="仿宋_GB2312"/>
          <w:i/>
          <w:kern w:val="0"/>
          <w:sz w:val="28"/>
          <w:szCs w:val="28"/>
        </w:rPr>
        <w:t>—</w:t>
      </w:r>
      <w:r>
        <w:rPr>
          <w:rFonts w:hint="eastAsia" w:eastAsia="仿宋_GB2312"/>
          <w:kern w:val="0"/>
          <w:sz w:val="28"/>
          <w:szCs w:val="28"/>
        </w:rPr>
        <w:t>建筑单体</w:t>
      </w:r>
      <w:r>
        <w:rPr>
          <w:rFonts w:hint="eastAsia" w:ascii="仿宋_GB2312" w:eastAsia="仿宋_GB2312"/>
          <w:kern w:val="0"/>
          <w:sz w:val="28"/>
          <w:szCs w:val="28"/>
        </w:rPr>
        <w:t>预制率指标分值；</w:t>
      </w:r>
    </w:p>
    <w:p>
      <w:pPr>
        <w:widowControl/>
        <w:ind w:firstLine="1260" w:firstLineChars="450"/>
        <w:rPr>
          <w:rFonts w:ascii="仿宋_GB2312" w:eastAsia="仿宋_GB2312"/>
          <w:kern w:val="0"/>
          <w:sz w:val="28"/>
          <w:szCs w:val="28"/>
        </w:rPr>
      </w:pPr>
      <w:r>
        <w:rPr>
          <w:rFonts w:eastAsia="仿宋_GB2312"/>
          <w:i/>
          <w:kern w:val="0"/>
          <w:sz w:val="28"/>
          <w:szCs w:val="28"/>
        </w:rPr>
        <w:t>B</w:t>
      </w:r>
      <w:r>
        <w:rPr>
          <w:rFonts w:hint="eastAsia" w:eastAsia="仿宋_GB2312"/>
          <w:i/>
          <w:kern w:val="0"/>
          <w:sz w:val="28"/>
          <w:szCs w:val="28"/>
        </w:rPr>
        <w:t>—</w:t>
      </w:r>
      <w:r>
        <w:rPr>
          <w:rFonts w:hint="eastAsia" w:ascii="仿宋_GB2312" w:eastAsia="仿宋_GB2312"/>
          <w:kern w:val="0"/>
          <w:sz w:val="28"/>
          <w:szCs w:val="28"/>
        </w:rPr>
        <w:t>部品装配率指标分值；</w:t>
      </w:r>
    </w:p>
    <w:p>
      <w:pPr>
        <w:widowControl/>
        <w:ind w:firstLine="1260" w:firstLineChars="450"/>
        <w:rPr>
          <w:rFonts w:ascii="仿宋_GB2312" w:eastAsia="仿宋_GB2312"/>
          <w:kern w:val="0"/>
          <w:sz w:val="28"/>
          <w:szCs w:val="28"/>
        </w:rPr>
      </w:pPr>
      <w:r>
        <w:rPr>
          <w:rFonts w:eastAsia="仿宋_GB2312"/>
          <w:i/>
          <w:kern w:val="0"/>
          <w:sz w:val="28"/>
          <w:szCs w:val="28"/>
        </w:rPr>
        <w:t>C</w:t>
      </w:r>
      <w:r>
        <w:rPr>
          <w:rFonts w:hint="eastAsia" w:eastAsia="仿宋_GB2312"/>
          <w:i/>
          <w:kern w:val="0"/>
          <w:sz w:val="28"/>
          <w:szCs w:val="28"/>
        </w:rPr>
        <w:t>—</w:t>
      </w:r>
      <w:r>
        <w:rPr>
          <w:rFonts w:hint="eastAsia" w:ascii="仿宋_GB2312" w:eastAsia="仿宋_GB2312"/>
          <w:kern w:val="0"/>
          <w:sz w:val="28"/>
          <w:szCs w:val="28"/>
        </w:rPr>
        <w:t>创新率指标分值。</w:t>
      </w:r>
    </w:p>
    <w:p>
      <w:pPr>
        <w:numPr>
          <w:numId w:val="0"/>
        </w:numPr>
        <w:tabs>
          <w:tab w:val="left" w:pos="709"/>
        </w:tabs>
        <w:outlineLvl w:val="0"/>
        <w:rPr>
          <w:rFonts w:ascii="黑体" w:hAnsi="黑体" w:eastAsia="黑体"/>
          <w:color w:val="333333"/>
          <w:kern w:val="0"/>
          <w:sz w:val="32"/>
          <w:szCs w:val="32"/>
        </w:rPr>
      </w:pPr>
      <w:r>
        <w:rPr>
          <w:rFonts w:hint="eastAsia" w:ascii="黑体" w:hAnsi="黑体" w:eastAsia="黑体"/>
          <w:color w:val="333333"/>
          <w:kern w:val="0"/>
          <w:sz w:val="28"/>
          <w:szCs w:val="28"/>
          <w:lang w:val="en-US" w:eastAsia="zh-CN"/>
        </w:rPr>
        <w:t xml:space="preserve">    </w:t>
      </w:r>
      <w:r>
        <w:rPr>
          <w:rFonts w:hint="eastAsia" w:ascii="黑体" w:hAnsi="黑体" w:eastAsia="黑体"/>
          <w:color w:val="333333"/>
          <w:kern w:val="0"/>
          <w:sz w:val="32"/>
          <w:szCs w:val="32"/>
          <w:lang w:val="en-US" w:eastAsia="zh-CN"/>
        </w:rPr>
        <w:t>二、</w:t>
      </w:r>
      <w:r>
        <w:rPr>
          <w:rFonts w:hint="eastAsia" w:ascii="黑体" w:hAnsi="黑体" w:eastAsia="黑体"/>
          <w:color w:val="333333"/>
          <w:kern w:val="0"/>
          <w:sz w:val="32"/>
          <w:szCs w:val="32"/>
        </w:rPr>
        <w:t>建筑单体预制率指标分值（</w:t>
      </w:r>
      <w:r>
        <w:rPr>
          <w:rFonts w:eastAsia="黑体"/>
          <w:i/>
          <w:color w:val="333333"/>
          <w:kern w:val="0"/>
          <w:sz w:val="32"/>
          <w:szCs w:val="32"/>
        </w:rPr>
        <w:t>Y</w:t>
      </w:r>
      <w:r>
        <w:rPr>
          <w:rFonts w:hint="eastAsia" w:ascii="黑体" w:hAnsi="黑体" w:eastAsia="黑体"/>
          <w:color w:val="333333"/>
          <w:kern w:val="0"/>
          <w:sz w:val="32"/>
          <w:szCs w:val="32"/>
        </w:rPr>
        <w:t>）计算</w:t>
      </w:r>
    </w:p>
    <w:p>
      <w:pPr>
        <w:tabs>
          <w:tab w:val="left" w:pos="709"/>
        </w:tabs>
        <w:ind w:firstLine="560" w:firstLineChars="200"/>
        <w:rPr>
          <w:rFonts w:ascii="仿宋_GB2312" w:hAnsi="Arial" w:eastAsia="仿宋_GB2312"/>
          <w:color w:val="333333"/>
          <w:kern w:val="0"/>
          <w:sz w:val="32"/>
          <w:szCs w:val="32"/>
        </w:rPr>
      </w:pPr>
      <w:r>
        <w:rPr>
          <w:rFonts w:hint="eastAsia" w:ascii="仿宋_GB2312" w:hAnsi="Arial" w:eastAsia="仿宋_GB2312"/>
          <w:color w:val="333333"/>
          <w:kern w:val="0"/>
          <w:sz w:val="32"/>
          <w:szCs w:val="32"/>
        </w:rPr>
        <w:t>建筑单体预制率是指混凝土结构、钢结构、钢-混凝土混合结构等结构类型的装配式建筑±0.000以上主体结构和围护结构中预制构件部分的材料用量占对应构件材料总用量的比率。其中，预制构件包括以下类型：楼板、楼梯、阳台（含空调板）、墙体（剪力墙、外挂墙板）、梁、柱/斜撑等。对于建筑单体为混凝土结构、钢结构、钢-混凝土混合结构等结构类型的装配式建筑，其单体预制率可按下式进行计算。</w:t>
      </w:r>
    </w:p>
    <w:tbl>
      <w:tblPr>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1"/>
        <w:gridCol w:w="5811"/>
        <w:gridCol w:w="1610"/>
      </w:tblGrid>
      <w:tr>
        <w:tc>
          <w:tcPr>
            <w:tcW w:w="1101" w:type="dxa"/>
            <w:vAlign w:val="center"/>
          </w:tcPr>
          <w:p>
            <w:pPr>
              <w:widowControl/>
              <w:spacing w:line="240" w:lineRule="auto"/>
              <w:jc w:val="center"/>
              <w:outlineLvl w:val="2"/>
              <w:rPr>
                <w:rFonts w:ascii="仿宋_GB2312" w:eastAsia="仿宋_GB2312"/>
                <w:kern w:val="0"/>
                <w:sz w:val="28"/>
                <w:szCs w:val="28"/>
              </w:rPr>
            </w:pPr>
          </w:p>
        </w:tc>
        <w:tc>
          <w:tcPr>
            <w:tcW w:w="5811" w:type="dxa"/>
            <w:vAlign w:val="center"/>
          </w:tcPr>
          <w:p>
            <w:pPr>
              <w:widowControl/>
              <w:spacing w:line="240" w:lineRule="auto"/>
              <w:jc w:val="center"/>
              <w:outlineLvl w:val="2"/>
              <w:rPr>
                <w:rFonts w:eastAsia="仿宋_GB2312"/>
                <w:kern w:val="0"/>
                <w:sz w:val="28"/>
                <w:szCs w:val="28"/>
              </w:rPr>
            </w:pPr>
            <w:r>
              <w:rPr>
                <w:rFonts w:hint="eastAsia" w:eastAsia="仿宋_GB2312"/>
                <w:i/>
                <w:kern w:val="0"/>
                <w:sz w:val="28"/>
                <w:szCs w:val="28"/>
              </w:rPr>
              <w:t>Y</w:t>
            </w:r>
            <w:r>
              <w:rPr>
                <w:rFonts w:eastAsia="仿宋_GB2312"/>
                <w:kern w:val="0"/>
                <w:sz w:val="28"/>
                <w:szCs w:val="28"/>
              </w:rPr>
              <w:t>=</w:t>
            </w:r>
            <w:r>
              <w:rPr>
                <w:rFonts w:hint="eastAsia" w:eastAsia="仿宋_GB2312"/>
                <w:i/>
                <w:kern w:val="0"/>
                <w:sz w:val="28"/>
                <w:szCs w:val="28"/>
              </w:rPr>
              <w:t>∑</w:t>
            </w:r>
            <w:r>
              <w:rPr>
                <w:rFonts w:hint="eastAsia" w:eastAsia="仿宋_GB2312"/>
                <w:kern w:val="0"/>
                <w:sz w:val="28"/>
                <w:szCs w:val="28"/>
              </w:rPr>
              <w:t>（</w:t>
            </w:r>
            <w:r>
              <w:rPr>
                <w:rFonts w:eastAsia="仿宋_GB2312"/>
                <w:i/>
                <w:color w:val="333333"/>
                <w:kern w:val="0"/>
                <w:sz w:val="28"/>
                <w:szCs w:val="28"/>
              </w:rPr>
              <w:t>K</w:t>
            </w:r>
            <w:r>
              <w:rPr>
                <w:rFonts w:hint="eastAsia" w:eastAsia="仿宋_GB2312"/>
                <w:i/>
                <w:color w:val="333333"/>
                <w:kern w:val="0"/>
                <w:sz w:val="28"/>
                <w:szCs w:val="28"/>
                <w:vertAlign w:val="subscript"/>
              </w:rPr>
              <w:t>y，n</w:t>
            </w:r>
            <w:r>
              <w:rPr>
                <w:rFonts w:hint="eastAsia" w:eastAsia="仿宋_GB2312"/>
                <w:kern w:val="0"/>
                <w:sz w:val="28"/>
                <w:szCs w:val="28"/>
              </w:rPr>
              <w:t>）</w:t>
            </w:r>
          </w:p>
        </w:tc>
        <w:tc>
          <w:tcPr>
            <w:tcW w:w="1610" w:type="dxa"/>
            <w:vAlign w:val="center"/>
          </w:tcPr>
          <w:p>
            <w:pPr>
              <w:widowControl/>
              <w:spacing w:line="240" w:lineRule="auto"/>
              <w:jc w:val="center"/>
              <w:outlineLvl w:val="2"/>
              <w:rPr>
                <w:rFonts w:ascii="仿宋_GB2312" w:eastAsia="仿宋_GB2312"/>
                <w:kern w:val="0"/>
                <w:sz w:val="28"/>
                <w:szCs w:val="28"/>
              </w:rPr>
            </w:pPr>
            <w:r>
              <w:rPr>
                <w:rFonts w:hint="eastAsia" w:ascii="仿宋_GB2312" w:eastAsia="仿宋_GB2312"/>
                <w:kern w:val="0"/>
                <w:sz w:val="28"/>
                <w:szCs w:val="28"/>
              </w:rPr>
              <w:t>（式2-1）</w:t>
            </w:r>
          </w:p>
        </w:tc>
      </w:tr>
    </w:tbl>
    <w:p>
      <w:pPr>
        <w:widowControl/>
        <w:ind w:firstLine="560" w:firstLineChars="200"/>
        <w:rPr>
          <w:rFonts w:ascii="仿宋_GB2312" w:eastAsia="仿宋_GB2312"/>
          <w:kern w:val="0"/>
          <w:sz w:val="28"/>
          <w:szCs w:val="28"/>
        </w:rPr>
      </w:pPr>
      <w:r>
        <w:rPr>
          <w:rFonts w:hint="eastAsia" w:ascii="仿宋_GB2312" w:eastAsia="仿宋_GB2312"/>
          <w:kern w:val="0"/>
          <w:sz w:val="28"/>
          <w:szCs w:val="28"/>
        </w:rPr>
        <w:t>式中：</w:t>
      </w:r>
    </w:p>
    <w:p>
      <w:pPr>
        <w:widowControl/>
        <w:ind w:firstLine="1260" w:firstLineChars="450"/>
        <w:rPr>
          <w:rFonts w:ascii="仿宋_GB2312" w:eastAsia="仿宋_GB2312"/>
          <w:kern w:val="0"/>
          <w:sz w:val="28"/>
          <w:szCs w:val="28"/>
        </w:rPr>
      </w:pPr>
      <w:r>
        <w:rPr>
          <w:rFonts w:eastAsia="仿宋_GB2312"/>
          <w:i/>
          <w:kern w:val="0"/>
          <w:sz w:val="28"/>
          <w:szCs w:val="28"/>
        </w:rPr>
        <w:t>Y</w:t>
      </w:r>
      <w:r>
        <w:rPr>
          <w:rFonts w:hint="eastAsia" w:eastAsia="仿宋_GB2312"/>
          <w:i/>
          <w:kern w:val="0"/>
          <w:sz w:val="28"/>
          <w:szCs w:val="28"/>
        </w:rPr>
        <w:t>—</w:t>
      </w:r>
      <w:r>
        <w:rPr>
          <w:rFonts w:hint="eastAsia" w:eastAsia="仿宋_GB2312"/>
          <w:kern w:val="0"/>
          <w:sz w:val="28"/>
          <w:szCs w:val="28"/>
        </w:rPr>
        <w:t>建筑单体</w:t>
      </w:r>
      <w:r>
        <w:rPr>
          <w:rFonts w:hint="eastAsia" w:ascii="仿宋_GB2312" w:eastAsia="仿宋_GB2312"/>
          <w:kern w:val="0"/>
          <w:sz w:val="28"/>
          <w:szCs w:val="28"/>
        </w:rPr>
        <w:t>预制率指标分值；</w:t>
      </w:r>
    </w:p>
    <w:p>
      <w:pPr>
        <w:widowControl/>
        <w:ind w:firstLine="1260" w:firstLineChars="450"/>
        <w:rPr>
          <w:rFonts w:ascii="仿宋_GB2312" w:eastAsia="仿宋_GB2312"/>
          <w:kern w:val="0"/>
          <w:sz w:val="28"/>
          <w:szCs w:val="28"/>
        </w:rPr>
      </w:pPr>
      <w:r>
        <w:rPr>
          <w:rFonts w:eastAsia="仿宋_GB2312"/>
          <w:i/>
          <w:color w:val="333333"/>
          <w:kern w:val="0"/>
          <w:sz w:val="28"/>
          <w:szCs w:val="28"/>
        </w:rPr>
        <w:t>K</w:t>
      </w:r>
      <w:r>
        <w:rPr>
          <w:rFonts w:hint="eastAsia" w:eastAsia="仿宋_GB2312"/>
          <w:i/>
          <w:color w:val="333333"/>
          <w:kern w:val="0"/>
          <w:sz w:val="28"/>
          <w:szCs w:val="28"/>
          <w:vertAlign w:val="subscript"/>
        </w:rPr>
        <w:t>y，n</w:t>
      </w:r>
      <w:r>
        <w:rPr>
          <w:rFonts w:hint="eastAsia" w:eastAsia="仿宋_GB2312"/>
          <w:i/>
          <w:kern w:val="0"/>
          <w:sz w:val="28"/>
          <w:szCs w:val="28"/>
        </w:rPr>
        <w:t>—</w:t>
      </w:r>
      <w:r>
        <w:rPr>
          <w:rFonts w:hint="eastAsia" w:eastAsia="仿宋_GB2312"/>
          <w:kern w:val="0"/>
          <w:sz w:val="28"/>
          <w:szCs w:val="28"/>
        </w:rPr>
        <w:t>根据预制构件应用比例所得分值</w:t>
      </w:r>
      <w:r>
        <w:rPr>
          <w:rFonts w:hint="eastAsia" w:ascii="仿宋_GB2312" w:eastAsia="仿宋_GB2312"/>
          <w:kern w:val="0"/>
          <w:sz w:val="28"/>
          <w:szCs w:val="28"/>
        </w:rPr>
        <w:t>。</w:t>
      </w:r>
    </w:p>
    <w:p>
      <w:pPr>
        <w:tabs>
          <w:tab w:val="left" w:pos="709"/>
        </w:tabs>
        <w:ind w:firstLine="560" w:firstLineChars="200"/>
        <w:outlineLvl w:val="1"/>
        <w:rPr>
          <w:rFonts w:ascii="仿宋_GB2312" w:hAnsi="Arial" w:eastAsia="仿宋_GB2312"/>
          <w:color w:val="333333"/>
          <w:kern w:val="0"/>
          <w:sz w:val="28"/>
          <w:szCs w:val="28"/>
        </w:rPr>
      </w:pPr>
      <w:r>
        <w:rPr>
          <w:rFonts w:hint="eastAsia" w:ascii="仿宋_GB2312" w:hAnsi="Arial" w:eastAsia="仿宋_GB2312"/>
          <w:color w:val="333333"/>
          <w:kern w:val="0"/>
          <w:sz w:val="28"/>
          <w:szCs w:val="28"/>
        </w:rPr>
        <w:t>对于不同结构体系，根据预制构件应用比例所得分值（</w:t>
      </w:r>
      <w:r>
        <w:rPr>
          <w:rFonts w:eastAsia="仿宋_GB2312"/>
          <w:i/>
          <w:color w:val="333333"/>
          <w:kern w:val="0"/>
          <w:sz w:val="28"/>
          <w:szCs w:val="28"/>
        </w:rPr>
        <w:t>K</w:t>
      </w:r>
      <w:r>
        <w:rPr>
          <w:rFonts w:hint="eastAsia" w:eastAsia="仿宋_GB2312"/>
          <w:i/>
          <w:color w:val="333333"/>
          <w:kern w:val="0"/>
          <w:sz w:val="28"/>
          <w:szCs w:val="28"/>
          <w:vertAlign w:val="subscript"/>
        </w:rPr>
        <w:t>y，n</w:t>
      </w:r>
      <w:r>
        <w:rPr>
          <w:rFonts w:hint="eastAsia" w:ascii="仿宋_GB2312" w:hAnsi="Arial" w:eastAsia="仿宋_GB2312"/>
          <w:color w:val="333333"/>
          <w:kern w:val="0"/>
          <w:sz w:val="28"/>
          <w:szCs w:val="28"/>
        </w:rPr>
        <w:t>）按表2-1至表2-3取值。其中，预制构件比例按下列要求进行计算。</w:t>
      </w:r>
    </w:p>
    <w:p>
      <w:pPr>
        <w:tabs>
          <w:tab w:val="left" w:pos="709"/>
        </w:tabs>
        <w:ind w:firstLine="560" w:firstLineChars="200"/>
        <w:rPr>
          <w:rFonts w:ascii="仿宋_GB2312" w:hAnsi="Arial" w:eastAsia="仿宋_GB2312"/>
          <w:color w:val="333333"/>
          <w:kern w:val="0"/>
          <w:sz w:val="28"/>
          <w:szCs w:val="28"/>
        </w:rPr>
      </w:pPr>
      <w:r>
        <w:rPr>
          <w:rFonts w:hint="eastAsia" w:ascii="仿宋_GB2312" w:hAnsi="Arial" w:eastAsia="仿宋_GB2312"/>
          <w:color w:val="333333"/>
          <w:kern w:val="0"/>
          <w:sz w:val="28"/>
          <w:szCs w:val="28"/>
        </w:rPr>
        <w:t>（1）预制楼板比例指建筑单体预制免模楼板总面积占建筑单体全部楼板总面积的比例。</w:t>
      </w:r>
    </w:p>
    <w:p>
      <w:pPr>
        <w:tabs>
          <w:tab w:val="left" w:pos="709"/>
        </w:tabs>
        <w:ind w:firstLine="560" w:firstLineChars="200"/>
        <w:rPr>
          <w:rFonts w:ascii="仿宋_GB2312" w:hAnsi="Arial" w:eastAsia="仿宋_GB2312"/>
          <w:color w:val="333333"/>
          <w:kern w:val="0"/>
          <w:sz w:val="28"/>
          <w:szCs w:val="28"/>
        </w:rPr>
      </w:pPr>
      <w:r>
        <w:rPr>
          <w:rFonts w:hint="eastAsia" w:ascii="仿宋_GB2312" w:hAnsi="Arial" w:eastAsia="仿宋_GB2312"/>
          <w:color w:val="333333"/>
          <w:kern w:val="0"/>
          <w:sz w:val="28"/>
          <w:szCs w:val="28"/>
        </w:rPr>
        <w:t>（2）预制楼梯比例指建筑单体预制楼梯构件总数量占建筑单体全部楼梯总数量的比例。</w:t>
      </w:r>
    </w:p>
    <w:p>
      <w:pPr>
        <w:tabs>
          <w:tab w:val="left" w:pos="709"/>
        </w:tabs>
        <w:ind w:firstLine="560" w:firstLineChars="200"/>
        <w:rPr>
          <w:rFonts w:ascii="仿宋_GB2312" w:hAnsi="Arial" w:eastAsia="仿宋_GB2312"/>
          <w:color w:val="333333"/>
          <w:kern w:val="0"/>
          <w:sz w:val="28"/>
          <w:szCs w:val="28"/>
        </w:rPr>
      </w:pPr>
      <w:r>
        <w:rPr>
          <w:rFonts w:hint="eastAsia" w:ascii="仿宋_GB2312" w:hAnsi="Arial" w:eastAsia="仿宋_GB2312"/>
          <w:color w:val="333333"/>
          <w:kern w:val="0"/>
          <w:sz w:val="28"/>
          <w:szCs w:val="28"/>
        </w:rPr>
        <w:t>（3）预制阳台（含空调板）比例指建筑单体预制阳台（含空调板）构件总数量占建筑单体全部阳台（含空调板）总数量的比例。</w:t>
      </w:r>
    </w:p>
    <w:p>
      <w:pPr>
        <w:tabs>
          <w:tab w:val="left" w:pos="709"/>
        </w:tabs>
        <w:ind w:firstLine="560" w:firstLineChars="200"/>
        <w:rPr>
          <w:rFonts w:ascii="仿宋_GB2312" w:hAnsi="Arial" w:eastAsia="仿宋_GB2312"/>
          <w:color w:val="333333"/>
          <w:kern w:val="0"/>
          <w:sz w:val="28"/>
          <w:szCs w:val="28"/>
        </w:rPr>
      </w:pPr>
      <w:r>
        <w:rPr>
          <w:rFonts w:hint="eastAsia" w:ascii="仿宋_GB2312" w:hAnsi="Arial" w:eastAsia="仿宋_GB2312"/>
          <w:color w:val="333333"/>
          <w:kern w:val="0"/>
          <w:sz w:val="28"/>
          <w:szCs w:val="28"/>
        </w:rPr>
        <w:t>（4）预制墙体比例指建筑单体预制（除内隔墙外）墙体墙线总长度占建筑单体（除内隔墙外）全部墙线总长度的比例。</w:t>
      </w:r>
    </w:p>
    <w:p>
      <w:pPr>
        <w:tabs>
          <w:tab w:val="left" w:pos="709"/>
        </w:tabs>
        <w:ind w:firstLine="560" w:firstLineChars="200"/>
        <w:rPr>
          <w:rFonts w:ascii="仿宋_GB2312" w:hAnsi="Arial" w:eastAsia="仿宋_GB2312"/>
          <w:color w:val="333333"/>
          <w:kern w:val="0"/>
          <w:sz w:val="28"/>
          <w:szCs w:val="28"/>
        </w:rPr>
      </w:pPr>
      <w:r>
        <w:rPr>
          <w:rFonts w:hint="eastAsia" w:ascii="仿宋_GB2312" w:hAnsi="Arial" w:eastAsia="仿宋_GB2312"/>
          <w:color w:val="333333"/>
          <w:kern w:val="0"/>
          <w:sz w:val="28"/>
          <w:szCs w:val="28"/>
        </w:rPr>
        <w:t>（5）预制梁比例指建筑单体预制梁构件总长度占建筑单体全部梁构件总长度的比例。</w:t>
      </w:r>
    </w:p>
    <w:p>
      <w:pPr>
        <w:tabs>
          <w:tab w:val="left" w:pos="709"/>
        </w:tabs>
        <w:ind w:firstLine="560" w:firstLineChars="200"/>
        <w:rPr>
          <w:rFonts w:ascii="仿宋_GB2312" w:hAnsi="Arial" w:eastAsia="仿宋_GB2312"/>
          <w:color w:val="333333"/>
          <w:kern w:val="0"/>
          <w:sz w:val="28"/>
          <w:szCs w:val="28"/>
        </w:rPr>
      </w:pPr>
      <w:r>
        <w:rPr>
          <w:rFonts w:hint="eastAsia" w:ascii="仿宋_GB2312" w:hAnsi="Arial" w:eastAsia="仿宋_GB2312"/>
          <w:color w:val="333333"/>
          <w:kern w:val="0"/>
          <w:sz w:val="28"/>
          <w:szCs w:val="28"/>
        </w:rPr>
        <w:t>（6）预制柱/斜撑比例指建筑单体预制柱/斜撑构件根数占建筑单体全部柱/斜撑构件根数的比例。</w:t>
      </w:r>
    </w:p>
    <w:p>
      <w:pPr>
        <w:tabs>
          <w:tab w:val="left" w:pos="709"/>
        </w:tabs>
        <w:ind w:firstLine="560" w:firstLineChars="200"/>
        <w:rPr>
          <w:rFonts w:ascii="仿宋_GB2312" w:hAnsi="Arial" w:eastAsia="仿宋_GB2312"/>
          <w:color w:val="333333"/>
          <w:kern w:val="0"/>
          <w:sz w:val="28"/>
          <w:szCs w:val="28"/>
        </w:rPr>
      </w:pPr>
      <w:r>
        <w:rPr>
          <w:rFonts w:hint="eastAsia" w:ascii="仿宋_GB2312" w:hAnsi="Arial" w:eastAsia="仿宋_GB2312"/>
          <w:color w:val="333333"/>
          <w:kern w:val="0"/>
          <w:sz w:val="28"/>
          <w:szCs w:val="28"/>
        </w:rPr>
        <w:t>（7）上述预制构件比例计算时，长度和面积以建筑轴线为基准。</w:t>
      </w:r>
    </w:p>
    <w:p>
      <w:pPr>
        <w:kinsoku w:val="0"/>
        <w:overflowPunct w:val="0"/>
        <w:spacing w:before="120"/>
        <w:jc w:val="center"/>
        <w:rPr>
          <w:rFonts w:eastAsia="仿宋_GB2312"/>
          <w:b/>
          <w:bCs/>
          <w:szCs w:val="28"/>
        </w:rPr>
      </w:pPr>
      <w:r>
        <w:rPr>
          <w:rFonts w:eastAsia="仿宋_GB2312"/>
          <w:b/>
          <w:bCs/>
          <w:szCs w:val="28"/>
        </w:rPr>
        <w:t>表2-1  框架结构预制构件应用比例取值表</w:t>
      </w:r>
    </w:p>
    <w:tbl>
      <w:tblPr>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769"/>
        <w:gridCol w:w="714"/>
        <w:gridCol w:w="1736"/>
        <w:gridCol w:w="1276"/>
        <w:gridCol w:w="2693"/>
        <w:gridCol w:w="1559"/>
      </w:tblGrid>
      <w:tr>
        <w:trPr>
          <w:trHeight w:val="567" w:hRule="atLeast"/>
          <w:tblHeader/>
          <w:jc w:val="center"/>
        </w:trPr>
        <w:tc>
          <w:tcPr>
            <w:tcW w:w="769" w:type="dxa"/>
            <w:shd w:val="pct10" w:color="auto" w:fill="auto"/>
            <w:vAlign w:val="center"/>
          </w:tcPr>
          <w:p>
            <w:pPr>
              <w:pStyle w:val="15"/>
              <w:kinsoku w:val="0"/>
              <w:overflowPunct w:val="0"/>
              <w:jc w:val="center"/>
              <w:rPr>
                <w:rFonts w:ascii="Times New Roman" w:hAnsi="Times New Roman" w:eastAsia="仿宋_GB2312" w:cs="Times New Roman"/>
                <w:b/>
              </w:rPr>
            </w:pPr>
            <w:r>
              <w:rPr>
                <w:rFonts w:ascii="Times New Roman" w:hAnsi="Times New Roman" w:eastAsia="仿宋_GB2312" w:cs="Times New Roman"/>
                <w:b/>
              </w:rPr>
              <w:t>序号</w:t>
            </w:r>
          </w:p>
        </w:tc>
        <w:tc>
          <w:tcPr>
            <w:tcW w:w="2450" w:type="dxa"/>
            <w:gridSpan w:val="2"/>
            <w:shd w:val="pct10" w:color="auto" w:fill="auto"/>
            <w:vAlign w:val="center"/>
          </w:tcPr>
          <w:p>
            <w:pPr>
              <w:pStyle w:val="15"/>
              <w:kinsoku w:val="0"/>
              <w:overflowPunct w:val="0"/>
              <w:jc w:val="center"/>
              <w:rPr>
                <w:rFonts w:ascii="Times New Roman" w:hAnsi="Times New Roman" w:eastAsia="仿宋_GB2312" w:cs="Times New Roman"/>
                <w:b/>
              </w:rPr>
            </w:pPr>
            <w:r>
              <w:rPr>
                <w:rFonts w:ascii="Times New Roman" w:hAnsi="Times New Roman" w:eastAsia="仿宋_GB2312" w:cs="Times New Roman"/>
                <w:b/>
              </w:rPr>
              <w:t>计分项</w:t>
            </w:r>
          </w:p>
        </w:tc>
        <w:tc>
          <w:tcPr>
            <w:tcW w:w="1276" w:type="dxa"/>
            <w:shd w:val="pct10" w:color="auto" w:fill="auto"/>
            <w:vAlign w:val="center"/>
          </w:tcPr>
          <w:p>
            <w:pPr>
              <w:pStyle w:val="15"/>
              <w:kinsoku w:val="0"/>
              <w:overflowPunct w:val="0"/>
              <w:jc w:val="center"/>
              <w:rPr>
                <w:rFonts w:ascii="Times New Roman" w:hAnsi="Times New Roman" w:eastAsia="仿宋_GB2312" w:cs="Times New Roman"/>
                <w:b/>
              </w:rPr>
            </w:pPr>
            <w:r>
              <w:rPr>
                <w:rFonts w:ascii="Times New Roman" w:hAnsi="Times New Roman" w:eastAsia="仿宋_GB2312" w:cs="Times New Roman"/>
                <w:b/>
              </w:rPr>
              <w:t>权重分值</w:t>
            </w:r>
          </w:p>
        </w:tc>
        <w:tc>
          <w:tcPr>
            <w:tcW w:w="2693" w:type="dxa"/>
            <w:shd w:val="pct10" w:color="auto" w:fill="auto"/>
            <w:vAlign w:val="center"/>
          </w:tcPr>
          <w:p>
            <w:pPr>
              <w:pStyle w:val="15"/>
              <w:kinsoku w:val="0"/>
              <w:overflowPunct w:val="0"/>
              <w:jc w:val="center"/>
              <w:rPr>
                <w:rFonts w:ascii="Times New Roman" w:hAnsi="Times New Roman" w:eastAsia="仿宋_GB2312" w:cs="Times New Roman"/>
                <w:b/>
              </w:rPr>
            </w:pPr>
            <w:r>
              <w:rPr>
                <w:rFonts w:ascii="Times New Roman" w:hAnsi="Times New Roman" w:eastAsia="仿宋_GB2312" w:cs="Times New Roman"/>
                <w:b/>
              </w:rPr>
              <w:t>应用比例</w:t>
            </w:r>
          </w:p>
        </w:tc>
        <w:tc>
          <w:tcPr>
            <w:tcW w:w="1559" w:type="dxa"/>
            <w:shd w:val="pct10" w:color="auto" w:fill="auto"/>
            <w:vAlign w:val="center"/>
          </w:tcPr>
          <w:p>
            <w:pPr>
              <w:pStyle w:val="15"/>
              <w:kinsoku w:val="0"/>
              <w:overflowPunct w:val="0"/>
              <w:jc w:val="center"/>
              <w:rPr>
                <w:rFonts w:ascii="Times New Roman" w:hAnsi="Times New Roman" w:eastAsia="仿宋_GB2312" w:cs="Times New Roman"/>
                <w:b/>
              </w:rPr>
            </w:pPr>
            <w:r>
              <w:rPr>
                <w:rFonts w:ascii="Times New Roman" w:hAnsi="Times New Roman" w:eastAsia="仿宋_GB2312" w:cs="Times New Roman"/>
                <w:b/>
              </w:rPr>
              <w:t>实际得分</w:t>
            </w:r>
          </w:p>
        </w:tc>
      </w:tr>
      <w:tr>
        <w:trPr>
          <w:trHeight w:val="340" w:hRule="atLeast"/>
          <w:jc w:val="center"/>
        </w:trPr>
        <w:tc>
          <w:tcPr>
            <w:tcW w:w="769"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1</w:t>
            </w:r>
          </w:p>
        </w:tc>
        <w:tc>
          <w:tcPr>
            <w:tcW w:w="2450" w:type="dxa"/>
            <w:gridSpan w:val="2"/>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楼板</w:t>
            </w:r>
          </w:p>
        </w:tc>
        <w:tc>
          <w:tcPr>
            <w:tcW w:w="1276"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15</w:t>
            </w: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50%≤比例＜70%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6~12</w:t>
            </w:r>
            <w:r>
              <w:rPr>
                <w:rFonts w:ascii="Times New Roman" w:hAnsi="Times New Roman" w:eastAsia="仿宋_GB2312" w:cs="Times New Roman"/>
                <w:vertAlign w:val="superscript"/>
              </w:rPr>
              <w:t>*</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2450" w:type="dxa"/>
            <w:gridSpan w:val="2"/>
            <w:vMerge w:val="continue"/>
            <w:vAlign w:val="center"/>
          </w:tcPr>
          <w:p>
            <w:pPr>
              <w:pStyle w:val="15"/>
              <w:kinsoku w:val="0"/>
              <w:overflowPunct w:val="0"/>
              <w:jc w:val="center"/>
              <w:rPr>
                <w:rFonts w:ascii="Times New Roman" w:hAnsi="Times New Roman" w:eastAsia="仿宋_GB2312" w:cs="Times New Roman"/>
              </w:rPr>
            </w:pP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15</w:t>
            </w:r>
          </w:p>
        </w:tc>
      </w:tr>
      <w:tr>
        <w:trPr>
          <w:trHeight w:val="340" w:hRule="atLeast"/>
          <w:jc w:val="center"/>
        </w:trPr>
        <w:tc>
          <w:tcPr>
            <w:tcW w:w="769"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2</w:t>
            </w:r>
          </w:p>
        </w:tc>
        <w:tc>
          <w:tcPr>
            <w:tcW w:w="2450" w:type="dxa"/>
            <w:gridSpan w:val="2"/>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楼梯</w:t>
            </w:r>
          </w:p>
        </w:tc>
        <w:tc>
          <w:tcPr>
            <w:tcW w:w="1276"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w:t>
            </w: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60%≤比例＜80%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2~4</w:t>
            </w:r>
            <w:r>
              <w:rPr>
                <w:rFonts w:ascii="Times New Roman" w:hAnsi="Times New Roman" w:eastAsia="仿宋_GB2312" w:cs="Times New Roman"/>
                <w:vertAlign w:val="superscript"/>
              </w:rPr>
              <w:t>*</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2450" w:type="dxa"/>
            <w:gridSpan w:val="2"/>
            <w:vMerge w:val="continue"/>
            <w:vAlign w:val="center"/>
          </w:tcPr>
          <w:p>
            <w:pPr>
              <w:pStyle w:val="15"/>
              <w:kinsoku w:val="0"/>
              <w:overflowPunct w:val="0"/>
              <w:jc w:val="center"/>
              <w:rPr>
                <w:rFonts w:ascii="Times New Roman" w:hAnsi="Times New Roman" w:eastAsia="仿宋_GB2312" w:cs="Times New Roman"/>
              </w:rPr>
            </w:pP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比例≥80%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w:t>
            </w:r>
          </w:p>
        </w:tc>
      </w:tr>
      <w:tr>
        <w:trPr>
          <w:trHeight w:val="340" w:hRule="atLeast"/>
          <w:jc w:val="center"/>
        </w:trPr>
        <w:tc>
          <w:tcPr>
            <w:tcW w:w="769"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3</w:t>
            </w:r>
          </w:p>
        </w:tc>
        <w:tc>
          <w:tcPr>
            <w:tcW w:w="2450" w:type="dxa"/>
            <w:gridSpan w:val="2"/>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阳台</w:t>
            </w:r>
          </w:p>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（含空调板）</w:t>
            </w:r>
          </w:p>
        </w:tc>
        <w:tc>
          <w:tcPr>
            <w:tcW w:w="1276"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w:t>
            </w: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60%≤比例＜80%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2~4</w:t>
            </w:r>
            <w:r>
              <w:rPr>
                <w:rFonts w:ascii="Times New Roman" w:hAnsi="Times New Roman" w:eastAsia="仿宋_GB2312" w:cs="Times New Roman"/>
                <w:vertAlign w:val="superscript"/>
              </w:rPr>
              <w:t>*</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2450" w:type="dxa"/>
            <w:gridSpan w:val="2"/>
            <w:vMerge w:val="continue"/>
            <w:vAlign w:val="center"/>
          </w:tcPr>
          <w:p>
            <w:pPr>
              <w:pStyle w:val="15"/>
              <w:kinsoku w:val="0"/>
              <w:overflowPunct w:val="0"/>
              <w:jc w:val="center"/>
              <w:rPr>
                <w:rFonts w:ascii="Times New Roman" w:hAnsi="Times New Roman" w:eastAsia="仿宋_GB2312" w:cs="Times New Roman"/>
              </w:rPr>
            </w:pP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比例≥80%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w:t>
            </w:r>
          </w:p>
        </w:tc>
      </w:tr>
      <w:tr>
        <w:trPr>
          <w:trHeight w:val="340" w:hRule="atLeast"/>
          <w:jc w:val="center"/>
        </w:trPr>
        <w:tc>
          <w:tcPr>
            <w:tcW w:w="769"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4</w:t>
            </w:r>
          </w:p>
        </w:tc>
        <w:tc>
          <w:tcPr>
            <w:tcW w:w="714"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墙体</w:t>
            </w:r>
          </w:p>
        </w:tc>
        <w:tc>
          <w:tcPr>
            <w:tcW w:w="1736"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非砌筑墙体</w:t>
            </w:r>
          </w:p>
        </w:tc>
        <w:tc>
          <w:tcPr>
            <w:tcW w:w="1276"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20</w:t>
            </w: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60%≤比例＜80%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6~12</w:t>
            </w:r>
            <w:r>
              <w:rPr>
                <w:rFonts w:ascii="Times New Roman" w:hAnsi="Times New Roman" w:eastAsia="仿宋_GB2312" w:cs="Times New Roman"/>
                <w:vertAlign w:val="superscript"/>
              </w:rPr>
              <w:t>*</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714" w:type="dxa"/>
            <w:vMerge w:val="continue"/>
            <w:vAlign w:val="center"/>
          </w:tcPr>
          <w:p>
            <w:pPr>
              <w:pStyle w:val="15"/>
              <w:kinsoku w:val="0"/>
              <w:overflowPunct w:val="0"/>
              <w:jc w:val="center"/>
              <w:rPr>
                <w:rFonts w:ascii="Times New Roman" w:hAnsi="Times New Roman" w:eastAsia="仿宋_GB2312" w:cs="Times New Roman"/>
              </w:rPr>
            </w:pPr>
          </w:p>
        </w:tc>
        <w:tc>
          <w:tcPr>
            <w:tcW w:w="1736" w:type="dxa"/>
            <w:vMerge w:val="continue"/>
            <w:vAlign w:val="center"/>
          </w:tcPr>
          <w:p>
            <w:pPr>
              <w:pStyle w:val="15"/>
              <w:kinsoku w:val="0"/>
              <w:overflowPunct w:val="0"/>
              <w:jc w:val="center"/>
              <w:rPr>
                <w:rFonts w:ascii="Times New Roman" w:hAnsi="Times New Roman" w:eastAsia="仿宋_GB2312" w:cs="Times New Roman"/>
              </w:rPr>
            </w:pP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比例≥80%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15</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714" w:type="dxa"/>
            <w:vMerge w:val="continue"/>
            <w:vAlign w:val="center"/>
          </w:tcPr>
          <w:p>
            <w:pPr>
              <w:pStyle w:val="15"/>
              <w:kinsoku w:val="0"/>
              <w:overflowPunct w:val="0"/>
              <w:jc w:val="center"/>
              <w:rPr>
                <w:rFonts w:ascii="Times New Roman" w:hAnsi="Times New Roman" w:eastAsia="仿宋_GB2312" w:cs="Times New Roman"/>
              </w:rPr>
            </w:pPr>
          </w:p>
        </w:tc>
        <w:tc>
          <w:tcPr>
            <w:tcW w:w="1736"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保温结构</w:t>
            </w:r>
          </w:p>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一体化</w:t>
            </w: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60%≤比例＜80%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2~4</w:t>
            </w:r>
            <w:r>
              <w:rPr>
                <w:rFonts w:ascii="Times New Roman" w:hAnsi="Times New Roman" w:eastAsia="仿宋_GB2312" w:cs="Times New Roman"/>
                <w:vertAlign w:val="superscript"/>
              </w:rPr>
              <w:t>*</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714" w:type="dxa"/>
            <w:vMerge w:val="continue"/>
            <w:vAlign w:val="center"/>
          </w:tcPr>
          <w:p>
            <w:pPr>
              <w:pStyle w:val="15"/>
              <w:kinsoku w:val="0"/>
              <w:overflowPunct w:val="0"/>
              <w:jc w:val="center"/>
              <w:rPr>
                <w:rFonts w:ascii="Times New Roman" w:hAnsi="Times New Roman" w:eastAsia="仿宋_GB2312" w:cs="Times New Roman"/>
              </w:rPr>
            </w:pPr>
          </w:p>
        </w:tc>
        <w:tc>
          <w:tcPr>
            <w:tcW w:w="1736" w:type="dxa"/>
            <w:vMerge w:val="continue"/>
            <w:vAlign w:val="center"/>
          </w:tcPr>
          <w:p>
            <w:pPr>
              <w:pStyle w:val="15"/>
              <w:kinsoku w:val="0"/>
              <w:overflowPunct w:val="0"/>
              <w:jc w:val="center"/>
              <w:rPr>
                <w:rFonts w:ascii="Times New Roman" w:hAnsi="Times New Roman" w:eastAsia="仿宋_GB2312" w:cs="Times New Roman"/>
              </w:rPr>
            </w:pP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比例≥80%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w:t>
            </w:r>
          </w:p>
        </w:tc>
      </w:tr>
      <w:tr>
        <w:trPr>
          <w:trHeight w:val="340" w:hRule="atLeast"/>
          <w:jc w:val="center"/>
        </w:trPr>
        <w:tc>
          <w:tcPr>
            <w:tcW w:w="769"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w:t>
            </w:r>
          </w:p>
        </w:tc>
        <w:tc>
          <w:tcPr>
            <w:tcW w:w="2450" w:type="dxa"/>
            <w:gridSpan w:val="2"/>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梁</w:t>
            </w:r>
          </w:p>
        </w:tc>
        <w:tc>
          <w:tcPr>
            <w:tcW w:w="1276"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15</w:t>
            </w: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50%≤比例＜70%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6~12</w:t>
            </w:r>
            <w:r>
              <w:rPr>
                <w:rFonts w:ascii="Times New Roman" w:hAnsi="Times New Roman" w:eastAsia="仿宋_GB2312" w:cs="Times New Roman"/>
                <w:vertAlign w:val="superscript"/>
              </w:rPr>
              <w:t>*</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2450" w:type="dxa"/>
            <w:gridSpan w:val="2"/>
            <w:vMerge w:val="continue"/>
            <w:vAlign w:val="center"/>
          </w:tcPr>
          <w:p>
            <w:pPr>
              <w:pStyle w:val="15"/>
              <w:kinsoku w:val="0"/>
              <w:overflowPunct w:val="0"/>
              <w:jc w:val="center"/>
              <w:rPr>
                <w:rFonts w:ascii="Times New Roman" w:hAnsi="Times New Roman" w:eastAsia="仿宋_GB2312" w:cs="Times New Roman"/>
              </w:rPr>
            </w:pP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15</w:t>
            </w:r>
          </w:p>
        </w:tc>
      </w:tr>
      <w:tr>
        <w:trPr>
          <w:trHeight w:val="340" w:hRule="atLeast"/>
          <w:jc w:val="center"/>
        </w:trPr>
        <w:tc>
          <w:tcPr>
            <w:tcW w:w="769"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6</w:t>
            </w:r>
          </w:p>
        </w:tc>
        <w:tc>
          <w:tcPr>
            <w:tcW w:w="2450" w:type="dxa"/>
            <w:gridSpan w:val="2"/>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柱/斜撑</w:t>
            </w:r>
          </w:p>
        </w:tc>
        <w:tc>
          <w:tcPr>
            <w:tcW w:w="1276"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10</w:t>
            </w: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50%≤比例＜70%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5~8</w:t>
            </w:r>
            <w:r>
              <w:rPr>
                <w:rFonts w:ascii="Times New Roman" w:hAnsi="Times New Roman" w:eastAsia="仿宋_GB2312" w:cs="Times New Roman"/>
                <w:vertAlign w:val="superscript"/>
              </w:rPr>
              <w:t>*</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2450" w:type="dxa"/>
            <w:gridSpan w:val="2"/>
            <w:vMerge w:val="continue"/>
            <w:vAlign w:val="center"/>
          </w:tcPr>
          <w:p>
            <w:pPr>
              <w:pStyle w:val="15"/>
              <w:kinsoku w:val="0"/>
              <w:overflowPunct w:val="0"/>
              <w:jc w:val="center"/>
              <w:rPr>
                <w:rFonts w:ascii="Times New Roman" w:hAnsi="Times New Roman" w:eastAsia="仿宋_GB2312" w:cs="Times New Roman"/>
              </w:rPr>
            </w:pP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10</w:t>
            </w:r>
          </w:p>
        </w:tc>
      </w:tr>
    </w:tbl>
    <w:p>
      <w:pPr>
        <w:kinsoku w:val="0"/>
        <w:overflowPunct w:val="0"/>
        <w:spacing w:before="4"/>
        <w:rPr>
          <w:rFonts w:eastAsia="仿宋_GB2312"/>
          <w:bCs/>
          <w:szCs w:val="28"/>
        </w:rPr>
      </w:pPr>
      <w:r>
        <w:rPr>
          <w:rFonts w:eastAsia="仿宋_GB2312"/>
          <w:bCs/>
          <w:szCs w:val="28"/>
        </w:rPr>
        <w:t>注：表中带</w:t>
      </w:r>
      <w:r>
        <w:rPr>
          <w:rFonts w:hint="eastAsia" w:ascii="仿宋_GB2312" w:eastAsia="仿宋_GB2312"/>
          <w:bCs/>
          <w:szCs w:val="28"/>
        </w:rPr>
        <w:t>“</w:t>
      </w:r>
      <w:r>
        <w:rPr>
          <w:rFonts w:eastAsia="仿宋_GB2312"/>
          <w:bCs/>
          <w:szCs w:val="28"/>
        </w:rPr>
        <w:t>*</w:t>
      </w:r>
      <w:r>
        <w:rPr>
          <w:rFonts w:hint="eastAsia" w:ascii="仿宋_GB2312" w:eastAsia="仿宋_GB2312"/>
          <w:bCs/>
          <w:szCs w:val="28"/>
        </w:rPr>
        <w:t>”</w:t>
      </w:r>
      <w:r>
        <w:rPr>
          <w:rFonts w:eastAsia="仿宋_GB2312"/>
          <w:bCs/>
          <w:szCs w:val="28"/>
        </w:rPr>
        <w:t>项的分值采用“内插法”计算，计算结果取小数点后两位。</w:t>
      </w:r>
    </w:p>
    <w:p>
      <w:pPr>
        <w:kinsoku w:val="0"/>
        <w:overflowPunct w:val="0"/>
        <w:spacing w:before="120"/>
        <w:jc w:val="center"/>
        <w:rPr>
          <w:rFonts w:eastAsia="仿宋_GB2312"/>
          <w:b/>
          <w:bCs/>
          <w:szCs w:val="28"/>
        </w:rPr>
      </w:pPr>
      <w:r>
        <w:rPr>
          <w:rFonts w:eastAsia="仿宋_GB2312"/>
          <w:b/>
          <w:bCs/>
          <w:szCs w:val="28"/>
        </w:rPr>
        <w:t>表2-2  剪力墙结构预制构件应用比例取值表</w:t>
      </w:r>
    </w:p>
    <w:tbl>
      <w:tblPr>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769"/>
        <w:gridCol w:w="728"/>
        <w:gridCol w:w="1722"/>
        <w:gridCol w:w="1276"/>
        <w:gridCol w:w="2693"/>
        <w:gridCol w:w="1559"/>
      </w:tblGrid>
      <w:tr>
        <w:trPr>
          <w:trHeight w:val="567" w:hRule="atLeast"/>
          <w:tblHeader/>
          <w:jc w:val="center"/>
        </w:trPr>
        <w:tc>
          <w:tcPr>
            <w:tcW w:w="769" w:type="dxa"/>
            <w:shd w:val="pct10" w:color="auto" w:fill="auto"/>
            <w:vAlign w:val="center"/>
          </w:tcPr>
          <w:p>
            <w:pPr>
              <w:pStyle w:val="15"/>
              <w:kinsoku w:val="0"/>
              <w:overflowPunct w:val="0"/>
              <w:jc w:val="center"/>
              <w:rPr>
                <w:rFonts w:ascii="Times New Roman" w:hAnsi="Times New Roman" w:eastAsia="仿宋_GB2312" w:cs="Times New Roman"/>
                <w:b/>
              </w:rPr>
            </w:pPr>
            <w:r>
              <w:rPr>
                <w:rFonts w:ascii="Times New Roman" w:hAnsi="Times New Roman" w:eastAsia="仿宋_GB2312" w:cs="Times New Roman"/>
                <w:b/>
              </w:rPr>
              <w:t>序号</w:t>
            </w:r>
          </w:p>
        </w:tc>
        <w:tc>
          <w:tcPr>
            <w:tcW w:w="2450" w:type="dxa"/>
            <w:gridSpan w:val="2"/>
            <w:shd w:val="pct10" w:color="auto" w:fill="auto"/>
            <w:vAlign w:val="center"/>
          </w:tcPr>
          <w:p>
            <w:pPr>
              <w:pStyle w:val="15"/>
              <w:kinsoku w:val="0"/>
              <w:overflowPunct w:val="0"/>
              <w:jc w:val="center"/>
              <w:rPr>
                <w:rFonts w:ascii="Times New Roman" w:hAnsi="Times New Roman" w:eastAsia="仿宋_GB2312" w:cs="Times New Roman"/>
                <w:b/>
              </w:rPr>
            </w:pPr>
            <w:r>
              <w:rPr>
                <w:rFonts w:ascii="Times New Roman" w:hAnsi="Times New Roman" w:eastAsia="仿宋_GB2312" w:cs="Times New Roman"/>
                <w:b/>
              </w:rPr>
              <w:t>计分项</w:t>
            </w:r>
          </w:p>
        </w:tc>
        <w:tc>
          <w:tcPr>
            <w:tcW w:w="1276" w:type="dxa"/>
            <w:shd w:val="pct10" w:color="auto" w:fill="auto"/>
            <w:vAlign w:val="center"/>
          </w:tcPr>
          <w:p>
            <w:pPr>
              <w:pStyle w:val="15"/>
              <w:kinsoku w:val="0"/>
              <w:overflowPunct w:val="0"/>
              <w:jc w:val="center"/>
              <w:rPr>
                <w:rFonts w:ascii="Times New Roman" w:hAnsi="Times New Roman" w:eastAsia="仿宋_GB2312" w:cs="Times New Roman"/>
                <w:b/>
              </w:rPr>
            </w:pPr>
            <w:r>
              <w:rPr>
                <w:rFonts w:ascii="Times New Roman" w:hAnsi="Times New Roman" w:eastAsia="仿宋_GB2312" w:cs="Times New Roman"/>
                <w:b/>
              </w:rPr>
              <w:t>权重分值</w:t>
            </w:r>
          </w:p>
        </w:tc>
        <w:tc>
          <w:tcPr>
            <w:tcW w:w="2693" w:type="dxa"/>
            <w:shd w:val="pct10" w:color="auto" w:fill="auto"/>
            <w:vAlign w:val="center"/>
          </w:tcPr>
          <w:p>
            <w:pPr>
              <w:pStyle w:val="15"/>
              <w:kinsoku w:val="0"/>
              <w:overflowPunct w:val="0"/>
              <w:jc w:val="center"/>
              <w:rPr>
                <w:rFonts w:ascii="Times New Roman" w:hAnsi="Times New Roman" w:eastAsia="仿宋_GB2312" w:cs="Times New Roman"/>
                <w:b/>
              </w:rPr>
            </w:pPr>
            <w:r>
              <w:rPr>
                <w:rFonts w:ascii="Times New Roman" w:hAnsi="Times New Roman" w:eastAsia="仿宋_GB2312" w:cs="Times New Roman"/>
                <w:b/>
              </w:rPr>
              <w:t>应用比例</w:t>
            </w:r>
          </w:p>
        </w:tc>
        <w:tc>
          <w:tcPr>
            <w:tcW w:w="1559" w:type="dxa"/>
            <w:shd w:val="pct10" w:color="auto" w:fill="auto"/>
            <w:vAlign w:val="center"/>
          </w:tcPr>
          <w:p>
            <w:pPr>
              <w:pStyle w:val="15"/>
              <w:kinsoku w:val="0"/>
              <w:overflowPunct w:val="0"/>
              <w:jc w:val="center"/>
              <w:rPr>
                <w:rFonts w:ascii="Times New Roman" w:hAnsi="Times New Roman" w:eastAsia="仿宋_GB2312" w:cs="Times New Roman"/>
                <w:b/>
              </w:rPr>
            </w:pPr>
            <w:r>
              <w:rPr>
                <w:rFonts w:ascii="Times New Roman" w:hAnsi="Times New Roman" w:eastAsia="仿宋_GB2312" w:cs="Times New Roman"/>
                <w:b/>
              </w:rPr>
              <w:t>实际得分</w:t>
            </w:r>
          </w:p>
        </w:tc>
      </w:tr>
      <w:tr>
        <w:trPr>
          <w:trHeight w:val="340" w:hRule="atLeast"/>
          <w:jc w:val="center"/>
        </w:trPr>
        <w:tc>
          <w:tcPr>
            <w:tcW w:w="769"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1</w:t>
            </w:r>
          </w:p>
        </w:tc>
        <w:tc>
          <w:tcPr>
            <w:tcW w:w="2450" w:type="dxa"/>
            <w:gridSpan w:val="2"/>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楼板</w:t>
            </w:r>
          </w:p>
        </w:tc>
        <w:tc>
          <w:tcPr>
            <w:tcW w:w="1276"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15</w:t>
            </w: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50%≤比例＜70%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6~12</w:t>
            </w:r>
            <w:r>
              <w:rPr>
                <w:rFonts w:ascii="Times New Roman" w:hAnsi="Times New Roman" w:eastAsia="仿宋_GB2312" w:cs="Times New Roman"/>
                <w:vertAlign w:val="superscript"/>
              </w:rPr>
              <w:t>*</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2450" w:type="dxa"/>
            <w:gridSpan w:val="2"/>
            <w:vMerge w:val="continue"/>
            <w:vAlign w:val="center"/>
          </w:tcPr>
          <w:p>
            <w:pPr>
              <w:pStyle w:val="15"/>
              <w:kinsoku w:val="0"/>
              <w:overflowPunct w:val="0"/>
              <w:jc w:val="center"/>
              <w:rPr>
                <w:rFonts w:ascii="Times New Roman" w:hAnsi="Times New Roman" w:eastAsia="仿宋_GB2312" w:cs="Times New Roman"/>
              </w:rPr>
            </w:pP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15</w:t>
            </w:r>
          </w:p>
        </w:tc>
      </w:tr>
      <w:tr>
        <w:trPr>
          <w:trHeight w:val="340" w:hRule="atLeast"/>
          <w:jc w:val="center"/>
        </w:trPr>
        <w:tc>
          <w:tcPr>
            <w:tcW w:w="769"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2</w:t>
            </w:r>
          </w:p>
        </w:tc>
        <w:tc>
          <w:tcPr>
            <w:tcW w:w="2450" w:type="dxa"/>
            <w:gridSpan w:val="2"/>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楼梯</w:t>
            </w:r>
          </w:p>
        </w:tc>
        <w:tc>
          <w:tcPr>
            <w:tcW w:w="1276"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w:t>
            </w: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60%≤比例＜80%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2~4</w:t>
            </w:r>
            <w:r>
              <w:rPr>
                <w:rFonts w:ascii="Times New Roman" w:hAnsi="Times New Roman" w:eastAsia="仿宋_GB2312" w:cs="Times New Roman"/>
                <w:vertAlign w:val="superscript"/>
              </w:rPr>
              <w:t>*</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2450" w:type="dxa"/>
            <w:gridSpan w:val="2"/>
            <w:vMerge w:val="continue"/>
            <w:vAlign w:val="center"/>
          </w:tcPr>
          <w:p>
            <w:pPr>
              <w:pStyle w:val="15"/>
              <w:kinsoku w:val="0"/>
              <w:overflowPunct w:val="0"/>
              <w:jc w:val="center"/>
              <w:rPr>
                <w:rFonts w:ascii="Times New Roman" w:hAnsi="Times New Roman" w:eastAsia="仿宋_GB2312" w:cs="Times New Roman"/>
              </w:rPr>
            </w:pP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比例≥80%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w:t>
            </w:r>
          </w:p>
        </w:tc>
      </w:tr>
      <w:tr>
        <w:trPr>
          <w:trHeight w:val="340" w:hRule="atLeast"/>
          <w:jc w:val="center"/>
        </w:trPr>
        <w:tc>
          <w:tcPr>
            <w:tcW w:w="769"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3</w:t>
            </w:r>
          </w:p>
        </w:tc>
        <w:tc>
          <w:tcPr>
            <w:tcW w:w="2450" w:type="dxa"/>
            <w:gridSpan w:val="2"/>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阳台</w:t>
            </w:r>
          </w:p>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（含空调板）</w:t>
            </w:r>
          </w:p>
        </w:tc>
        <w:tc>
          <w:tcPr>
            <w:tcW w:w="1276"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w:t>
            </w: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60%≤比例＜80%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2~4</w:t>
            </w:r>
            <w:r>
              <w:rPr>
                <w:rFonts w:ascii="Times New Roman" w:hAnsi="Times New Roman" w:eastAsia="仿宋_GB2312" w:cs="Times New Roman"/>
                <w:vertAlign w:val="superscript"/>
              </w:rPr>
              <w:t>*</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2450" w:type="dxa"/>
            <w:gridSpan w:val="2"/>
            <w:vMerge w:val="continue"/>
            <w:vAlign w:val="center"/>
          </w:tcPr>
          <w:p>
            <w:pPr>
              <w:pStyle w:val="15"/>
              <w:kinsoku w:val="0"/>
              <w:overflowPunct w:val="0"/>
              <w:jc w:val="center"/>
              <w:rPr>
                <w:rFonts w:ascii="Times New Roman" w:hAnsi="Times New Roman" w:eastAsia="仿宋_GB2312" w:cs="Times New Roman"/>
              </w:rPr>
            </w:pP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比例≥80%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w:t>
            </w:r>
          </w:p>
        </w:tc>
      </w:tr>
      <w:tr>
        <w:trPr>
          <w:trHeight w:val="340" w:hRule="atLeast"/>
          <w:jc w:val="center"/>
        </w:trPr>
        <w:tc>
          <w:tcPr>
            <w:tcW w:w="769"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4</w:t>
            </w:r>
          </w:p>
        </w:tc>
        <w:tc>
          <w:tcPr>
            <w:tcW w:w="728"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墙体</w:t>
            </w:r>
          </w:p>
        </w:tc>
        <w:tc>
          <w:tcPr>
            <w:tcW w:w="1722"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非砌筑墙体</w:t>
            </w:r>
          </w:p>
        </w:tc>
        <w:tc>
          <w:tcPr>
            <w:tcW w:w="1276"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35</w:t>
            </w: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60%≤比例＜80%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15~25</w:t>
            </w:r>
            <w:r>
              <w:rPr>
                <w:rFonts w:ascii="Times New Roman" w:hAnsi="Times New Roman" w:eastAsia="仿宋_GB2312" w:cs="Times New Roman"/>
                <w:vertAlign w:val="superscript"/>
              </w:rPr>
              <w:t>*</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728" w:type="dxa"/>
            <w:vMerge w:val="continue"/>
            <w:vAlign w:val="center"/>
          </w:tcPr>
          <w:p>
            <w:pPr>
              <w:pStyle w:val="15"/>
              <w:kinsoku w:val="0"/>
              <w:overflowPunct w:val="0"/>
              <w:jc w:val="center"/>
              <w:rPr>
                <w:rFonts w:ascii="Times New Roman" w:hAnsi="Times New Roman" w:eastAsia="仿宋_GB2312" w:cs="Times New Roman"/>
              </w:rPr>
            </w:pPr>
          </w:p>
        </w:tc>
        <w:tc>
          <w:tcPr>
            <w:tcW w:w="1722" w:type="dxa"/>
            <w:vMerge w:val="continue"/>
            <w:vAlign w:val="center"/>
          </w:tcPr>
          <w:p>
            <w:pPr>
              <w:pStyle w:val="15"/>
              <w:kinsoku w:val="0"/>
              <w:overflowPunct w:val="0"/>
              <w:jc w:val="center"/>
              <w:rPr>
                <w:rFonts w:ascii="Times New Roman" w:hAnsi="Times New Roman" w:eastAsia="仿宋_GB2312" w:cs="Times New Roman"/>
              </w:rPr>
            </w:pP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比例≥80%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30</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728" w:type="dxa"/>
            <w:vMerge w:val="continue"/>
            <w:vAlign w:val="center"/>
          </w:tcPr>
          <w:p>
            <w:pPr>
              <w:pStyle w:val="15"/>
              <w:kinsoku w:val="0"/>
              <w:overflowPunct w:val="0"/>
              <w:jc w:val="center"/>
              <w:rPr>
                <w:rFonts w:ascii="Times New Roman" w:hAnsi="Times New Roman" w:eastAsia="仿宋_GB2312" w:cs="Times New Roman"/>
              </w:rPr>
            </w:pPr>
          </w:p>
        </w:tc>
        <w:tc>
          <w:tcPr>
            <w:tcW w:w="1722"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保温结构</w:t>
            </w:r>
          </w:p>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一体化</w:t>
            </w: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60%≤比例＜80%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2~4</w:t>
            </w:r>
            <w:r>
              <w:rPr>
                <w:rFonts w:ascii="Times New Roman" w:hAnsi="Times New Roman" w:eastAsia="仿宋_GB2312" w:cs="Times New Roman"/>
                <w:vertAlign w:val="superscript"/>
              </w:rPr>
              <w:t>*</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728" w:type="dxa"/>
            <w:vMerge w:val="continue"/>
            <w:vAlign w:val="center"/>
          </w:tcPr>
          <w:p>
            <w:pPr>
              <w:pStyle w:val="15"/>
              <w:kinsoku w:val="0"/>
              <w:overflowPunct w:val="0"/>
              <w:jc w:val="center"/>
              <w:rPr>
                <w:rFonts w:ascii="Times New Roman" w:hAnsi="Times New Roman" w:eastAsia="仿宋_GB2312" w:cs="Times New Roman"/>
              </w:rPr>
            </w:pPr>
          </w:p>
        </w:tc>
        <w:tc>
          <w:tcPr>
            <w:tcW w:w="1722" w:type="dxa"/>
            <w:vMerge w:val="continue"/>
            <w:vAlign w:val="center"/>
          </w:tcPr>
          <w:p>
            <w:pPr>
              <w:pStyle w:val="15"/>
              <w:kinsoku w:val="0"/>
              <w:overflowPunct w:val="0"/>
              <w:jc w:val="center"/>
              <w:rPr>
                <w:rFonts w:ascii="Times New Roman" w:hAnsi="Times New Roman" w:eastAsia="仿宋_GB2312" w:cs="Times New Roman"/>
              </w:rPr>
            </w:pP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比例≥80%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w:t>
            </w:r>
          </w:p>
        </w:tc>
      </w:tr>
      <w:tr>
        <w:trPr>
          <w:trHeight w:val="340" w:hRule="atLeast"/>
          <w:jc w:val="center"/>
        </w:trPr>
        <w:tc>
          <w:tcPr>
            <w:tcW w:w="769"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w:t>
            </w:r>
          </w:p>
        </w:tc>
        <w:tc>
          <w:tcPr>
            <w:tcW w:w="2450" w:type="dxa"/>
            <w:gridSpan w:val="2"/>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梁</w:t>
            </w:r>
          </w:p>
        </w:tc>
        <w:tc>
          <w:tcPr>
            <w:tcW w:w="1276"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10</w:t>
            </w: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50%≤比例＜70%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5~8</w:t>
            </w:r>
            <w:r>
              <w:rPr>
                <w:rFonts w:ascii="Times New Roman" w:hAnsi="Times New Roman" w:eastAsia="仿宋_GB2312" w:cs="Times New Roman"/>
                <w:vertAlign w:val="superscript"/>
              </w:rPr>
              <w:t>*</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2450" w:type="dxa"/>
            <w:gridSpan w:val="2"/>
            <w:vMerge w:val="continue"/>
            <w:vAlign w:val="center"/>
          </w:tcPr>
          <w:p>
            <w:pPr>
              <w:pStyle w:val="15"/>
              <w:kinsoku w:val="0"/>
              <w:overflowPunct w:val="0"/>
              <w:jc w:val="center"/>
              <w:rPr>
                <w:rFonts w:ascii="Times New Roman" w:hAnsi="Times New Roman" w:eastAsia="仿宋_GB2312" w:cs="Times New Roman"/>
              </w:rPr>
            </w:pP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10</w:t>
            </w:r>
          </w:p>
        </w:tc>
      </w:tr>
    </w:tbl>
    <w:p>
      <w:pPr>
        <w:kinsoku w:val="0"/>
        <w:overflowPunct w:val="0"/>
        <w:spacing w:before="4"/>
        <w:rPr>
          <w:rFonts w:ascii="仿宋_GB2312" w:eastAsia="仿宋_GB2312" w:cs="仿宋"/>
          <w:bCs/>
          <w:szCs w:val="28"/>
        </w:rPr>
      </w:pPr>
      <w:r>
        <w:rPr>
          <w:rFonts w:hint="eastAsia" w:ascii="仿宋_GB2312" w:eastAsia="仿宋_GB2312" w:cs="仿宋"/>
          <w:bCs/>
          <w:szCs w:val="28"/>
        </w:rPr>
        <w:t>注：表中带“</w:t>
      </w:r>
      <w:r>
        <w:rPr>
          <w:rFonts w:eastAsia="仿宋_GB2312"/>
          <w:bCs/>
          <w:szCs w:val="28"/>
        </w:rPr>
        <w:t>*</w:t>
      </w:r>
      <w:r>
        <w:rPr>
          <w:rFonts w:hint="eastAsia" w:ascii="仿宋_GB2312" w:eastAsia="仿宋_GB2312" w:cs="仿宋"/>
          <w:bCs/>
          <w:szCs w:val="28"/>
        </w:rPr>
        <w:t>”项的分值采用“内插法”计算，计算结果取小数点后两位。</w:t>
      </w:r>
    </w:p>
    <w:p>
      <w:pPr>
        <w:kinsoku w:val="0"/>
        <w:overflowPunct w:val="0"/>
        <w:spacing w:before="120"/>
        <w:jc w:val="center"/>
        <w:rPr>
          <w:rFonts w:eastAsia="仿宋_GB2312"/>
          <w:b/>
          <w:bCs/>
          <w:szCs w:val="28"/>
        </w:rPr>
      </w:pPr>
      <w:r>
        <w:rPr>
          <w:rFonts w:eastAsia="仿宋_GB2312"/>
          <w:b/>
          <w:bCs/>
          <w:szCs w:val="28"/>
        </w:rPr>
        <w:t>表2-3  框架-剪力墙结构预制构件应用比例取值表</w:t>
      </w:r>
    </w:p>
    <w:tbl>
      <w:tblPr>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769"/>
        <w:gridCol w:w="728"/>
        <w:gridCol w:w="1722"/>
        <w:gridCol w:w="1276"/>
        <w:gridCol w:w="2693"/>
        <w:gridCol w:w="1559"/>
      </w:tblGrid>
      <w:tr>
        <w:trPr>
          <w:trHeight w:val="567" w:hRule="atLeast"/>
          <w:tblHeader/>
          <w:jc w:val="center"/>
        </w:trPr>
        <w:tc>
          <w:tcPr>
            <w:tcW w:w="769" w:type="dxa"/>
            <w:shd w:val="pct10" w:color="auto" w:fill="auto"/>
            <w:vAlign w:val="center"/>
          </w:tcPr>
          <w:p>
            <w:pPr>
              <w:pStyle w:val="15"/>
              <w:kinsoku w:val="0"/>
              <w:overflowPunct w:val="0"/>
              <w:jc w:val="center"/>
              <w:rPr>
                <w:rFonts w:ascii="Times New Roman" w:hAnsi="Times New Roman" w:eastAsia="仿宋_GB2312" w:cs="Times New Roman"/>
                <w:b/>
              </w:rPr>
            </w:pPr>
            <w:r>
              <w:rPr>
                <w:rFonts w:ascii="Times New Roman" w:hAnsi="Times New Roman" w:eastAsia="仿宋_GB2312" w:cs="Times New Roman"/>
                <w:b/>
              </w:rPr>
              <w:t>序号</w:t>
            </w:r>
          </w:p>
        </w:tc>
        <w:tc>
          <w:tcPr>
            <w:tcW w:w="2450" w:type="dxa"/>
            <w:gridSpan w:val="2"/>
            <w:shd w:val="pct10" w:color="auto" w:fill="auto"/>
            <w:vAlign w:val="center"/>
          </w:tcPr>
          <w:p>
            <w:pPr>
              <w:pStyle w:val="15"/>
              <w:kinsoku w:val="0"/>
              <w:overflowPunct w:val="0"/>
              <w:jc w:val="center"/>
              <w:rPr>
                <w:rFonts w:ascii="Times New Roman" w:hAnsi="Times New Roman" w:eastAsia="仿宋_GB2312" w:cs="Times New Roman"/>
                <w:b/>
              </w:rPr>
            </w:pPr>
            <w:r>
              <w:rPr>
                <w:rFonts w:ascii="Times New Roman" w:hAnsi="Times New Roman" w:eastAsia="仿宋_GB2312" w:cs="Times New Roman"/>
                <w:b/>
              </w:rPr>
              <w:t>计分项</w:t>
            </w:r>
          </w:p>
        </w:tc>
        <w:tc>
          <w:tcPr>
            <w:tcW w:w="1276" w:type="dxa"/>
            <w:shd w:val="pct10" w:color="auto" w:fill="auto"/>
            <w:vAlign w:val="center"/>
          </w:tcPr>
          <w:p>
            <w:pPr>
              <w:pStyle w:val="15"/>
              <w:kinsoku w:val="0"/>
              <w:overflowPunct w:val="0"/>
              <w:jc w:val="center"/>
              <w:rPr>
                <w:rFonts w:ascii="Times New Roman" w:hAnsi="Times New Roman" w:eastAsia="仿宋_GB2312" w:cs="Times New Roman"/>
                <w:b/>
              </w:rPr>
            </w:pPr>
            <w:r>
              <w:rPr>
                <w:rFonts w:ascii="Times New Roman" w:hAnsi="Times New Roman" w:eastAsia="仿宋_GB2312" w:cs="Times New Roman"/>
                <w:b/>
              </w:rPr>
              <w:t>权重分值</w:t>
            </w:r>
          </w:p>
        </w:tc>
        <w:tc>
          <w:tcPr>
            <w:tcW w:w="2693" w:type="dxa"/>
            <w:shd w:val="pct10" w:color="auto" w:fill="auto"/>
            <w:vAlign w:val="center"/>
          </w:tcPr>
          <w:p>
            <w:pPr>
              <w:pStyle w:val="15"/>
              <w:kinsoku w:val="0"/>
              <w:overflowPunct w:val="0"/>
              <w:jc w:val="center"/>
              <w:rPr>
                <w:rFonts w:ascii="Times New Roman" w:hAnsi="Times New Roman" w:eastAsia="仿宋_GB2312" w:cs="Times New Roman"/>
                <w:b/>
              </w:rPr>
            </w:pPr>
            <w:r>
              <w:rPr>
                <w:rFonts w:ascii="Times New Roman" w:hAnsi="Times New Roman" w:eastAsia="仿宋_GB2312" w:cs="Times New Roman"/>
                <w:b/>
              </w:rPr>
              <w:t>应用比例</w:t>
            </w:r>
          </w:p>
        </w:tc>
        <w:tc>
          <w:tcPr>
            <w:tcW w:w="1559" w:type="dxa"/>
            <w:shd w:val="pct10" w:color="auto" w:fill="auto"/>
            <w:vAlign w:val="center"/>
          </w:tcPr>
          <w:p>
            <w:pPr>
              <w:pStyle w:val="15"/>
              <w:kinsoku w:val="0"/>
              <w:overflowPunct w:val="0"/>
              <w:jc w:val="center"/>
              <w:rPr>
                <w:rFonts w:ascii="Times New Roman" w:hAnsi="Times New Roman" w:eastAsia="仿宋_GB2312" w:cs="Times New Roman"/>
                <w:b/>
              </w:rPr>
            </w:pPr>
            <w:r>
              <w:rPr>
                <w:rFonts w:ascii="Times New Roman" w:hAnsi="Times New Roman" w:eastAsia="仿宋_GB2312" w:cs="Times New Roman"/>
                <w:b/>
              </w:rPr>
              <w:t>实际得分</w:t>
            </w:r>
          </w:p>
        </w:tc>
      </w:tr>
      <w:tr>
        <w:trPr>
          <w:trHeight w:val="340" w:hRule="atLeast"/>
          <w:jc w:val="center"/>
        </w:trPr>
        <w:tc>
          <w:tcPr>
            <w:tcW w:w="769"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1</w:t>
            </w:r>
          </w:p>
        </w:tc>
        <w:tc>
          <w:tcPr>
            <w:tcW w:w="2450" w:type="dxa"/>
            <w:gridSpan w:val="2"/>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楼板</w:t>
            </w:r>
          </w:p>
        </w:tc>
        <w:tc>
          <w:tcPr>
            <w:tcW w:w="1276"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15</w:t>
            </w: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50%≤比例＜70%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6~12</w:t>
            </w:r>
            <w:r>
              <w:rPr>
                <w:rFonts w:ascii="Times New Roman" w:hAnsi="Times New Roman" w:eastAsia="仿宋_GB2312" w:cs="Times New Roman"/>
                <w:vertAlign w:val="superscript"/>
              </w:rPr>
              <w:t>*</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2450" w:type="dxa"/>
            <w:gridSpan w:val="2"/>
            <w:vMerge w:val="continue"/>
            <w:vAlign w:val="center"/>
          </w:tcPr>
          <w:p>
            <w:pPr>
              <w:pStyle w:val="15"/>
              <w:kinsoku w:val="0"/>
              <w:overflowPunct w:val="0"/>
              <w:jc w:val="center"/>
              <w:rPr>
                <w:rFonts w:ascii="Times New Roman" w:hAnsi="Times New Roman" w:eastAsia="仿宋_GB2312" w:cs="Times New Roman"/>
              </w:rPr>
            </w:pP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15</w:t>
            </w:r>
          </w:p>
        </w:tc>
      </w:tr>
      <w:tr>
        <w:trPr>
          <w:trHeight w:val="340" w:hRule="atLeast"/>
          <w:jc w:val="center"/>
        </w:trPr>
        <w:tc>
          <w:tcPr>
            <w:tcW w:w="769"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2</w:t>
            </w:r>
          </w:p>
        </w:tc>
        <w:tc>
          <w:tcPr>
            <w:tcW w:w="2450" w:type="dxa"/>
            <w:gridSpan w:val="2"/>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楼梯</w:t>
            </w:r>
          </w:p>
        </w:tc>
        <w:tc>
          <w:tcPr>
            <w:tcW w:w="1276"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w:t>
            </w: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60%≤比例＜80%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2~4</w:t>
            </w:r>
            <w:r>
              <w:rPr>
                <w:rFonts w:ascii="Times New Roman" w:hAnsi="Times New Roman" w:eastAsia="仿宋_GB2312" w:cs="Times New Roman"/>
                <w:vertAlign w:val="superscript"/>
              </w:rPr>
              <w:t>*</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2450" w:type="dxa"/>
            <w:gridSpan w:val="2"/>
            <w:vMerge w:val="continue"/>
            <w:vAlign w:val="center"/>
          </w:tcPr>
          <w:p>
            <w:pPr>
              <w:pStyle w:val="15"/>
              <w:kinsoku w:val="0"/>
              <w:overflowPunct w:val="0"/>
              <w:jc w:val="center"/>
              <w:rPr>
                <w:rFonts w:ascii="Times New Roman" w:hAnsi="Times New Roman" w:eastAsia="仿宋_GB2312" w:cs="Times New Roman"/>
              </w:rPr>
            </w:pP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比例≥80%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w:t>
            </w:r>
          </w:p>
        </w:tc>
      </w:tr>
      <w:tr>
        <w:trPr>
          <w:trHeight w:val="340" w:hRule="atLeast"/>
          <w:jc w:val="center"/>
        </w:trPr>
        <w:tc>
          <w:tcPr>
            <w:tcW w:w="769"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3</w:t>
            </w:r>
          </w:p>
        </w:tc>
        <w:tc>
          <w:tcPr>
            <w:tcW w:w="2450" w:type="dxa"/>
            <w:gridSpan w:val="2"/>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阳台</w:t>
            </w:r>
          </w:p>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（含空调板）</w:t>
            </w:r>
          </w:p>
        </w:tc>
        <w:tc>
          <w:tcPr>
            <w:tcW w:w="1276"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w:t>
            </w: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60%≤比例＜80%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2~4</w:t>
            </w:r>
            <w:r>
              <w:rPr>
                <w:rFonts w:ascii="Times New Roman" w:hAnsi="Times New Roman" w:eastAsia="仿宋_GB2312" w:cs="Times New Roman"/>
                <w:vertAlign w:val="superscript"/>
              </w:rPr>
              <w:t>*</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2450" w:type="dxa"/>
            <w:gridSpan w:val="2"/>
            <w:vMerge w:val="continue"/>
            <w:vAlign w:val="center"/>
          </w:tcPr>
          <w:p>
            <w:pPr>
              <w:pStyle w:val="15"/>
              <w:kinsoku w:val="0"/>
              <w:overflowPunct w:val="0"/>
              <w:jc w:val="center"/>
              <w:rPr>
                <w:rFonts w:ascii="Times New Roman" w:hAnsi="Times New Roman" w:eastAsia="仿宋_GB2312" w:cs="Times New Roman"/>
              </w:rPr>
            </w:pP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比例≥80%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w:t>
            </w:r>
          </w:p>
        </w:tc>
      </w:tr>
      <w:tr>
        <w:trPr>
          <w:trHeight w:val="340" w:hRule="atLeast"/>
          <w:jc w:val="center"/>
        </w:trPr>
        <w:tc>
          <w:tcPr>
            <w:tcW w:w="769"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4</w:t>
            </w:r>
          </w:p>
        </w:tc>
        <w:tc>
          <w:tcPr>
            <w:tcW w:w="728"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墙体</w:t>
            </w:r>
          </w:p>
        </w:tc>
        <w:tc>
          <w:tcPr>
            <w:tcW w:w="1722"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非砌筑墙体</w:t>
            </w:r>
          </w:p>
        </w:tc>
        <w:tc>
          <w:tcPr>
            <w:tcW w:w="1276"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15</w:t>
            </w: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60%≤比例＜80%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5~8</w:t>
            </w:r>
            <w:r>
              <w:rPr>
                <w:rFonts w:ascii="Times New Roman" w:hAnsi="Times New Roman" w:eastAsia="仿宋_GB2312" w:cs="Times New Roman"/>
                <w:vertAlign w:val="superscript"/>
              </w:rPr>
              <w:t>*</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728" w:type="dxa"/>
            <w:vMerge w:val="continue"/>
            <w:vAlign w:val="center"/>
          </w:tcPr>
          <w:p>
            <w:pPr>
              <w:pStyle w:val="15"/>
              <w:kinsoku w:val="0"/>
              <w:overflowPunct w:val="0"/>
              <w:jc w:val="center"/>
              <w:rPr>
                <w:rFonts w:ascii="Times New Roman" w:hAnsi="Times New Roman" w:eastAsia="仿宋_GB2312" w:cs="Times New Roman"/>
              </w:rPr>
            </w:pPr>
          </w:p>
        </w:tc>
        <w:tc>
          <w:tcPr>
            <w:tcW w:w="1722" w:type="dxa"/>
            <w:vMerge w:val="continue"/>
            <w:vAlign w:val="center"/>
          </w:tcPr>
          <w:p>
            <w:pPr>
              <w:pStyle w:val="15"/>
              <w:kinsoku w:val="0"/>
              <w:overflowPunct w:val="0"/>
              <w:jc w:val="center"/>
              <w:rPr>
                <w:rFonts w:ascii="Times New Roman" w:hAnsi="Times New Roman" w:eastAsia="仿宋_GB2312" w:cs="Times New Roman"/>
              </w:rPr>
            </w:pP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比例≥80%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10</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728" w:type="dxa"/>
            <w:vMerge w:val="continue"/>
            <w:vAlign w:val="center"/>
          </w:tcPr>
          <w:p>
            <w:pPr>
              <w:pStyle w:val="15"/>
              <w:kinsoku w:val="0"/>
              <w:overflowPunct w:val="0"/>
              <w:jc w:val="center"/>
              <w:rPr>
                <w:rFonts w:ascii="Times New Roman" w:hAnsi="Times New Roman" w:eastAsia="仿宋_GB2312" w:cs="Times New Roman"/>
              </w:rPr>
            </w:pPr>
          </w:p>
        </w:tc>
        <w:tc>
          <w:tcPr>
            <w:tcW w:w="1722"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保温结构</w:t>
            </w:r>
          </w:p>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一体化</w:t>
            </w: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60%≤比例＜80%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2~4</w:t>
            </w:r>
            <w:r>
              <w:rPr>
                <w:rFonts w:ascii="Times New Roman" w:hAnsi="Times New Roman" w:eastAsia="仿宋_GB2312" w:cs="Times New Roman"/>
                <w:vertAlign w:val="superscript"/>
              </w:rPr>
              <w:t>*</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728" w:type="dxa"/>
            <w:vMerge w:val="continue"/>
            <w:vAlign w:val="center"/>
          </w:tcPr>
          <w:p>
            <w:pPr>
              <w:pStyle w:val="15"/>
              <w:kinsoku w:val="0"/>
              <w:overflowPunct w:val="0"/>
              <w:jc w:val="center"/>
              <w:rPr>
                <w:rFonts w:ascii="Times New Roman" w:hAnsi="Times New Roman" w:eastAsia="仿宋_GB2312" w:cs="Times New Roman"/>
              </w:rPr>
            </w:pPr>
          </w:p>
        </w:tc>
        <w:tc>
          <w:tcPr>
            <w:tcW w:w="1722" w:type="dxa"/>
            <w:vMerge w:val="continue"/>
            <w:vAlign w:val="center"/>
          </w:tcPr>
          <w:p>
            <w:pPr>
              <w:pStyle w:val="15"/>
              <w:kinsoku w:val="0"/>
              <w:overflowPunct w:val="0"/>
              <w:jc w:val="center"/>
              <w:rPr>
                <w:rFonts w:ascii="Times New Roman" w:hAnsi="Times New Roman" w:eastAsia="仿宋_GB2312" w:cs="Times New Roman"/>
              </w:rPr>
            </w:pP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比例≥80%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w:t>
            </w:r>
          </w:p>
        </w:tc>
      </w:tr>
      <w:tr>
        <w:trPr>
          <w:trHeight w:val="340" w:hRule="atLeast"/>
          <w:jc w:val="center"/>
        </w:trPr>
        <w:tc>
          <w:tcPr>
            <w:tcW w:w="769"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w:t>
            </w:r>
          </w:p>
        </w:tc>
        <w:tc>
          <w:tcPr>
            <w:tcW w:w="2450" w:type="dxa"/>
            <w:gridSpan w:val="2"/>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梁</w:t>
            </w:r>
          </w:p>
        </w:tc>
        <w:tc>
          <w:tcPr>
            <w:tcW w:w="1276"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20</w:t>
            </w: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50%≤比例＜70%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8~15</w:t>
            </w:r>
            <w:r>
              <w:rPr>
                <w:rFonts w:ascii="Times New Roman" w:hAnsi="Times New Roman" w:eastAsia="仿宋_GB2312" w:cs="Times New Roman"/>
                <w:vertAlign w:val="superscript"/>
              </w:rPr>
              <w:t>*</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2450" w:type="dxa"/>
            <w:gridSpan w:val="2"/>
            <w:vMerge w:val="continue"/>
            <w:vAlign w:val="center"/>
          </w:tcPr>
          <w:p>
            <w:pPr>
              <w:pStyle w:val="15"/>
              <w:kinsoku w:val="0"/>
              <w:overflowPunct w:val="0"/>
              <w:jc w:val="center"/>
              <w:rPr>
                <w:rFonts w:ascii="Times New Roman" w:hAnsi="Times New Roman" w:eastAsia="仿宋_GB2312" w:cs="Times New Roman"/>
              </w:rPr>
            </w:pP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20</w:t>
            </w:r>
          </w:p>
        </w:tc>
      </w:tr>
      <w:tr>
        <w:trPr>
          <w:trHeight w:val="340" w:hRule="atLeast"/>
          <w:jc w:val="center"/>
        </w:trPr>
        <w:tc>
          <w:tcPr>
            <w:tcW w:w="769"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6</w:t>
            </w:r>
          </w:p>
        </w:tc>
        <w:tc>
          <w:tcPr>
            <w:tcW w:w="2450" w:type="dxa"/>
            <w:gridSpan w:val="2"/>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柱/斜撑</w:t>
            </w:r>
          </w:p>
        </w:tc>
        <w:tc>
          <w:tcPr>
            <w:tcW w:w="1276"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10</w:t>
            </w: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50%≤比例＜70%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5~8</w:t>
            </w:r>
            <w:r>
              <w:rPr>
                <w:rFonts w:ascii="Times New Roman" w:hAnsi="Times New Roman" w:eastAsia="仿宋_GB2312" w:cs="Times New Roman"/>
                <w:vertAlign w:val="superscript"/>
              </w:rPr>
              <w:t>*</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2450" w:type="dxa"/>
            <w:gridSpan w:val="2"/>
            <w:vMerge w:val="continue"/>
            <w:vAlign w:val="center"/>
          </w:tcPr>
          <w:p>
            <w:pPr>
              <w:pStyle w:val="15"/>
              <w:kinsoku w:val="0"/>
              <w:overflowPunct w:val="0"/>
              <w:jc w:val="center"/>
              <w:rPr>
                <w:rFonts w:ascii="Times New Roman" w:hAnsi="Times New Roman" w:eastAsia="仿宋_GB2312" w:cs="Times New Roman"/>
              </w:rPr>
            </w:pP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10</w:t>
            </w:r>
          </w:p>
        </w:tc>
      </w:tr>
    </w:tbl>
    <w:p>
      <w:pPr>
        <w:kinsoku w:val="0"/>
        <w:overflowPunct w:val="0"/>
        <w:spacing w:before="4"/>
        <w:rPr>
          <w:rFonts w:ascii="仿宋_GB2312" w:eastAsia="仿宋_GB2312" w:cs="仿宋"/>
          <w:bCs/>
          <w:szCs w:val="28"/>
        </w:rPr>
      </w:pPr>
      <w:r>
        <w:rPr>
          <w:rFonts w:hint="eastAsia" w:ascii="仿宋_GB2312" w:eastAsia="仿宋_GB2312" w:cs="仿宋"/>
          <w:bCs/>
          <w:szCs w:val="28"/>
        </w:rPr>
        <w:t>注：表中带“</w:t>
      </w:r>
      <w:r>
        <w:rPr>
          <w:rFonts w:eastAsia="仿宋_GB2312"/>
          <w:bCs/>
          <w:szCs w:val="28"/>
        </w:rPr>
        <w:t>*</w:t>
      </w:r>
      <w:r>
        <w:rPr>
          <w:rFonts w:hint="eastAsia" w:ascii="仿宋_GB2312" w:eastAsia="仿宋_GB2312" w:cs="仿宋"/>
          <w:bCs/>
          <w:szCs w:val="28"/>
        </w:rPr>
        <w:t>”项的分值采用“内插法”计算，计算结果取小数点后两位。</w:t>
      </w:r>
    </w:p>
    <w:p>
      <w:pPr>
        <w:numPr>
          <w:numId w:val="0"/>
        </w:numPr>
        <w:tabs>
          <w:tab w:val="left" w:pos="709"/>
        </w:tabs>
        <w:outlineLvl w:val="0"/>
        <w:rPr>
          <w:rFonts w:ascii="黑体" w:hAnsi="黑体" w:eastAsia="黑体"/>
          <w:color w:val="333333"/>
          <w:kern w:val="0"/>
          <w:sz w:val="32"/>
          <w:szCs w:val="32"/>
        </w:rPr>
      </w:pPr>
      <w:r>
        <w:rPr>
          <w:rFonts w:hint="eastAsia" w:ascii="黑体" w:hAnsi="黑体" w:eastAsia="黑体"/>
          <w:color w:val="333333"/>
          <w:kern w:val="0"/>
          <w:sz w:val="28"/>
          <w:szCs w:val="28"/>
          <w:lang w:val="en-US" w:eastAsia="zh-CN"/>
        </w:rPr>
        <w:t xml:space="preserve">    </w:t>
      </w:r>
      <w:r>
        <w:rPr>
          <w:rFonts w:hint="eastAsia" w:ascii="黑体" w:hAnsi="黑体" w:eastAsia="黑体"/>
          <w:color w:val="333333"/>
          <w:kern w:val="0"/>
          <w:sz w:val="32"/>
          <w:szCs w:val="32"/>
          <w:lang w:val="en-US" w:eastAsia="zh-CN"/>
        </w:rPr>
        <w:t>三、</w:t>
      </w:r>
      <w:r>
        <w:rPr>
          <w:rFonts w:hint="eastAsia" w:ascii="黑体" w:hAnsi="黑体" w:eastAsia="黑体"/>
          <w:color w:val="333333"/>
          <w:kern w:val="0"/>
          <w:sz w:val="32"/>
          <w:szCs w:val="32"/>
        </w:rPr>
        <w:t>部品装配率指标分值（</w:t>
      </w:r>
      <w:r>
        <w:rPr>
          <w:rFonts w:eastAsia="仿宋_GB2312"/>
          <w:i/>
          <w:kern w:val="0"/>
          <w:sz w:val="32"/>
          <w:szCs w:val="32"/>
        </w:rPr>
        <w:t>B</w:t>
      </w:r>
      <w:r>
        <w:rPr>
          <w:rFonts w:hint="eastAsia" w:ascii="黑体" w:hAnsi="黑体" w:eastAsia="黑体"/>
          <w:color w:val="333333"/>
          <w:kern w:val="0"/>
          <w:sz w:val="32"/>
          <w:szCs w:val="32"/>
        </w:rPr>
        <w:t>）计算</w:t>
      </w:r>
    </w:p>
    <w:p>
      <w:pPr>
        <w:tabs>
          <w:tab w:val="left" w:pos="709"/>
        </w:tabs>
        <w:ind w:firstLine="560" w:firstLineChars="200"/>
        <w:outlineLvl w:val="1"/>
        <w:rPr>
          <w:rFonts w:ascii="仿宋_GB2312" w:hAnsi="Arial" w:eastAsia="仿宋_GB2312"/>
          <w:color w:val="333333"/>
          <w:kern w:val="0"/>
          <w:sz w:val="32"/>
          <w:szCs w:val="32"/>
        </w:rPr>
      </w:pPr>
      <w:r>
        <w:rPr>
          <w:rFonts w:hint="eastAsia" w:ascii="仿宋_GB2312" w:hAnsi="Arial" w:eastAsia="仿宋_GB2312"/>
          <w:color w:val="333333"/>
          <w:kern w:val="0"/>
          <w:sz w:val="32"/>
          <w:szCs w:val="32"/>
        </w:rPr>
        <w:t>部品装配率包含预制内隔墙、集成式厨房、集成式卫生间、集成管道井、集成排烟道、全装修六项内容。其中，部品比例按下列要求进行计算。</w:t>
      </w:r>
    </w:p>
    <w:p>
      <w:pPr>
        <w:tabs>
          <w:tab w:val="left" w:pos="709"/>
        </w:tabs>
        <w:ind w:firstLine="560" w:firstLineChars="200"/>
        <w:rPr>
          <w:rFonts w:ascii="仿宋_GB2312" w:hAnsi="Arial" w:eastAsia="仿宋_GB2312"/>
          <w:color w:val="333333"/>
          <w:kern w:val="0"/>
          <w:sz w:val="32"/>
          <w:szCs w:val="32"/>
        </w:rPr>
      </w:pPr>
      <w:r>
        <w:rPr>
          <w:rFonts w:hint="eastAsia" w:ascii="仿宋_GB2312" w:hAnsi="Arial" w:eastAsia="仿宋_GB2312"/>
          <w:color w:val="333333"/>
          <w:kern w:val="0"/>
          <w:sz w:val="32"/>
          <w:szCs w:val="32"/>
        </w:rPr>
        <w:t>（1）预制内隔墙比例指建筑单体中预制内隔墙的墙体墙线总长度占建筑单体全部内隔墙的墙线总长度的比例。预制内隔墙主要为采用标准化设计、工厂化生产、装配化施工为主要特征的干式安装内隔墙，不包括混凝土砖、空心砖、加气混凝土砌块等块材隔墙。</w:t>
      </w:r>
    </w:p>
    <w:p>
      <w:pPr>
        <w:tabs>
          <w:tab w:val="left" w:pos="709"/>
        </w:tabs>
        <w:ind w:firstLine="560" w:firstLineChars="200"/>
        <w:rPr>
          <w:rFonts w:ascii="仿宋_GB2312" w:hAnsi="Arial" w:eastAsia="仿宋_GB2312"/>
          <w:color w:val="333333"/>
          <w:kern w:val="0"/>
          <w:sz w:val="32"/>
          <w:szCs w:val="32"/>
        </w:rPr>
      </w:pPr>
      <w:r>
        <w:rPr>
          <w:rFonts w:hint="eastAsia" w:ascii="仿宋_GB2312" w:hAnsi="Arial" w:eastAsia="仿宋_GB2312"/>
          <w:color w:val="333333"/>
          <w:kern w:val="0"/>
          <w:sz w:val="32"/>
          <w:szCs w:val="32"/>
        </w:rPr>
        <w:t>（2）集成式厨房比例指建筑单体采用集成式厨房的总数量占建筑单体全部厨房的总数量的比例。</w:t>
      </w:r>
    </w:p>
    <w:p>
      <w:pPr>
        <w:tabs>
          <w:tab w:val="left" w:pos="709"/>
        </w:tabs>
        <w:ind w:firstLine="560" w:firstLineChars="200"/>
        <w:rPr>
          <w:rFonts w:ascii="仿宋_GB2312" w:hAnsi="Arial" w:eastAsia="仿宋_GB2312"/>
          <w:color w:val="333333"/>
          <w:kern w:val="0"/>
          <w:sz w:val="32"/>
          <w:szCs w:val="32"/>
        </w:rPr>
      </w:pPr>
      <w:r>
        <w:rPr>
          <w:rFonts w:hint="eastAsia" w:ascii="仿宋_GB2312" w:hAnsi="Arial" w:eastAsia="仿宋_GB2312"/>
          <w:color w:val="333333"/>
          <w:kern w:val="0"/>
          <w:sz w:val="32"/>
          <w:szCs w:val="32"/>
        </w:rPr>
        <w:t>（3）集成式卫生间比例指建筑单体采用集成式卫生间的总数量占建筑单体全部卫生间的总数量的比例。</w:t>
      </w:r>
    </w:p>
    <w:p>
      <w:pPr>
        <w:tabs>
          <w:tab w:val="left" w:pos="709"/>
        </w:tabs>
        <w:ind w:firstLine="560" w:firstLineChars="200"/>
        <w:rPr>
          <w:rFonts w:ascii="仿宋_GB2312" w:hAnsi="Arial" w:eastAsia="仿宋_GB2312"/>
          <w:color w:val="333333"/>
          <w:kern w:val="0"/>
          <w:sz w:val="32"/>
          <w:szCs w:val="32"/>
        </w:rPr>
      </w:pPr>
      <w:r>
        <w:rPr>
          <w:rFonts w:hint="eastAsia" w:ascii="仿宋_GB2312" w:hAnsi="Arial" w:eastAsia="仿宋_GB2312"/>
          <w:color w:val="333333"/>
          <w:kern w:val="0"/>
          <w:sz w:val="32"/>
          <w:szCs w:val="32"/>
        </w:rPr>
        <w:t>（4）集成管道井比例指建筑单体采用集成管道井的总数量占建筑单体全部管道井的总数量的比例。</w:t>
      </w:r>
    </w:p>
    <w:p>
      <w:pPr>
        <w:tabs>
          <w:tab w:val="left" w:pos="709"/>
        </w:tabs>
        <w:ind w:firstLine="560" w:firstLineChars="200"/>
        <w:rPr>
          <w:rFonts w:ascii="仿宋_GB2312" w:hAnsi="Arial" w:eastAsia="仿宋_GB2312"/>
          <w:color w:val="333333"/>
          <w:kern w:val="0"/>
          <w:sz w:val="32"/>
          <w:szCs w:val="32"/>
        </w:rPr>
      </w:pPr>
      <w:r>
        <w:rPr>
          <w:rFonts w:hint="eastAsia" w:ascii="仿宋_GB2312" w:hAnsi="Arial" w:eastAsia="仿宋_GB2312"/>
          <w:color w:val="333333"/>
          <w:kern w:val="0"/>
          <w:sz w:val="32"/>
          <w:szCs w:val="32"/>
        </w:rPr>
        <w:t>（5）集成排烟道比例指建筑单体采用集成排烟道的总数量占建筑单体全部排烟道的总数量的比例。</w:t>
      </w:r>
    </w:p>
    <w:p>
      <w:pPr>
        <w:tabs>
          <w:tab w:val="left" w:pos="709"/>
        </w:tabs>
        <w:ind w:firstLine="560" w:firstLineChars="200"/>
        <w:rPr>
          <w:rFonts w:ascii="仿宋_GB2312" w:hAnsi="Arial" w:eastAsia="仿宋_GB2312"/>
          <w:color w:val="333333"/>
          <w:kern w:val="0"/>
          <w:sz w:val="32"/>
          <w:szCs w:val="32"/>
        </w:rPr>
      </w:pPr>
      <w:r>
        <w:rPr>
          <w:rFonts w:hint="eastAsia" w:ascii="仿宋_GB2312" w:hAnsi="Arial" w:eastAsia="仿宋_GB2312"/>
          <w:color w:val="333333"/>
          <w:kern w:val="0"/>
          <w:sz w:val="32"/>
          <w:szCs w:val="32"/>
        </w:rPr>
        <w:t>（6）全装修是指房屋交付前，各功能空间的固定面全部铺装或粉刷完毕，厨房与卫生间的基本设备全部安装完成。</w:t>
      </w:r>
    </w:p>
    <w:tbl>
      <w:tblPr>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1"/>
        <w:gridCol w:w="5811"/>
        <w:gridCol w:w="1610"/>
      </w:tblGrid>
      <w:tr>
        <w:tc>
          <w:tcPr>
            <w:tcW w:w="1101" w:type="dxa"/>
            <w:vAlign w:val="center"/>
          </w:tcPr>
          <w:p>
            <w:pPr>
              <w:widowControl/>
              <w:spacing w:line="240" w:lineRule="auto"/>
              <w:jc w:val="center"/>
              <w:outlineLvl w:val="2"/>
              <w:rPr>
                <w:rFonts w:ascii="仿宋_GB2312" w:eastAsia="仿宋_GB2312"/>
                <w:kern w:val="0"/>
                <w:sz w:val="28"/>
                <w:szCs w:val="28"/>
              </w:rPr>
            </w:pPr>
          </w:p>
        </w:tc>
        <w:tc>
          <w:tcPr>
            <w:tcW w:w="5811" w:type="dxa"/>
            <w:vAlign w:val="center"/>
          </w:tcPr>
          <w:p>
            <w:pPr>
              <w:widowControl/>
              <w:spacing w:line="240" w:lineRule="auto"/>
              <w:jc w:val="center"/>
              <w:outlineLvl w:val="2"/>
              <w:rPr>
                <w:rFonts w:eastAsia="仿宋_GB2312"/>
                <w:kern w:val="0"/>
                <w:sz w:val="28"/>
                <w:szCs w:val="28"/>
              </w:rPr>
            </w:pPr>
            <w:r>
              <w:rPr>
                <w:rFonts w:hint="eastAsia" w:eastAsia="仿宋_GB2312"/>
                <w:i/>
                <w:kern w:val="0"/>
                <w:sz w:val="28"/>
                <w:szCs w:val="28"/>
              </w:rPr>
              <w:t>B</w:t>
            </w:r>
            <w:r>
              <w:rPr>
                <w:rFonts w:eastAsia="仿宋_GB2312"/>
                <w:kern w:val="0"/>
                <w:sz w:val="28"/>
                <w:szCs w:val="28"/>
              </w:rPr>
              <w:t>=</w:t>
            </w:r>
            <w:r>
              <w:rPr>
                <w:rFonts w:hint="eastAsia" w:eastAsia="仿宋_GB2312"/>
                <w:i/>
                <w:kern w:val="0"/>
                <w:sz w:val="28"/>
                <w:szCs w:val="28"/>
              </w:rPr>
              <w:t>∑</w:t>
            </w:r>
            <w:r>
              <w:rPr>
                <w:rFonts w:hint="eastAsia" w:eastAsia="仿宋_GB2312"/>
                <w:kern w:val="0"/>
                <w:sz w:val="28"/>
                <w:szCs w:val="28"/>
              </w:rPr>
              <w:t>（</w:t>
            </w:r>
            <w:r>
              <w:rPr>
                <w:rFonts w:hint="eastAsia" w:eastAsia="仿宋_GB2312"/>
                <w:i/>
                <w:kern w:val="0"/>
                <w:sz w:val="28"/>
                <w:szCs w:val="28"/>
              </w:rPr>
              <w:t>K</w:t>
            </w:r>
            <w:r>
              <w:rPr>
                <w:rFonts w:hint="eastAsia" w:eastAsia="仿宋_GB2312"/>
                <w:i/>
                <w:kern w:val="0"/>
                <w:sz w:val="28"/>
                <w:szCs w:val="28"/>
                <w:vertAlign w:val="subscript"/>
              </w:rPr>
              <w:t>B，n</w:t>
            </w:r>
            <w:r>
              <w:rPr>
                <w:rFonts w:hint="eastAsia" w:eastAsia="仿宋_GB2312"/>
                <w:kern w:val="0"/>
                <w:sz w:val="28"/>
                <w:szCs w:val="28"/>
              </w:rPr>
              <w:t>）</w:t>
            </w:r>
          </w:p>
        </w:tc>
        <w:tc>
          <w:tcPr>
            <w:tcW w:w="1610" w:type="dxa"/>
            <w:vAlign w:val="center"/>
          </w:tcPr>
          <w:p>
            <w:pPr>
              <w:widowControl/>
              <w:spacing w:line="240" w:lineRule="auto"/>
              <w:jc w:val="center"/>
              <w:outlineLvl w:val="2"/>
              <w:rPr>
                <w:rFonts w:ascii="仿宋_GB2312" w:eastAsia="仿宋_GB2312"/>
                <w:kern w:val="0"/>
                <w:sz w:val="28"/>
                <w:szCs w:val="28"/>
              </w:rPr>
            </w:pPr>
            <w:r>
              <w:rPr>
                <w:rFonts w:hint="eastAsia" w:ascii="仿宋_GB2312" w:eastAsia="仿宋_GB2312"/>
                <w:kern w:val="0"/>
                <w:sz w:val="28"/>
                <w:szCs w:val="28"/>
              </w:rPr>
              <w:t>（式3-1）</w:t>
            </w:r>
          </w:p>
        </w:tc>
      </w:tr>
    </w:tbl>
    <w:p>
      <w:pPr>
        <w:widowControl/>
        <w:ind w:firstLine="560" w:firstLineChars="200"/>
        <w:rPr>
          <w:rFonts w:ascii="仿宋_GB2312" w:eastAsia="仿宋_GB2312"/>
          <w:kern w:val="0"/>
          <w:sz w:val="28"/>
          <w:szCs w:val="28"/>
        </w:rPr>
      </w:pPr>
      <w:r>
        <w:rPr>
          <w:rFonts w:hint="eastAsia" w:ascii="仿宋_GB2312" w:eastAsia="仿宋_GB2312"/>
          <w:kern w:val="0"/>
          <w:sz w:val="28"/>
          <w:szCs w:val="28"/>
        </w:rPr>
        <w:t>式中：</w:t>
      </w:r>
    </w:p>
    <w:p>
      <w:pPr>
        <w:widowControl/>
        <w:ind w:firstLine="1260" w:firstLineChars="450"/>
        <w:rPr>
          <w:rFonts w:ascii="仿宋_GB2312" w:eastAsia="仿宋_GB2312"/>
          <w:kern w:val="0"/>
          <w:sz w:val="28"/>
          <w:szCs w:val="28"/>
        </w:rPr>
      </w:pPr>
      <w:r>
        <w:rPr>
          <w:rFonts w:hint="eastAsia" w:eastAsia="仿宋_GB2312"/>
          <w:i/>
          <w:kern w:val="0"/>
          <w:sz w:val="28"/>
          <w:szCs w:val="28"/>
        </w:rPr>
        <w:t>B—</w:t>
      </w:r>
      <w:r>
        <w:rPr>
          <w:rFonts w:hint="eastAsia" w:ascii="仿宋_GB2312" w:eastAsia="仿宋_GB2312"/>
          <w:kern w:val="0"/>
          <w:sz w:val="28"/>
          <w:szCs w:val="28"/>
        </w:rPr>
        <w:t>部品装配率；</w:t>
      </w:r>
    </w:p>
    <w:p>
      <w:pPr>
        <w:widowControl/>
        <w:ind w:firstLine="1260" w:firstLineChars="450"/>
        <w:rPr>
          <w:rFonts w:ascii="仿宋_GB2312" w:eastAsia="仿宋_GB2312"/>
          <w:kern w:val="0"/>
          <w:sz w:val="28"/>
          <w:szCs w:val="28"/>
        </w:rPr>
      </w:pPr>
      <w:r>
        <w:rPr>
          <w:rFonts w:hint="eastAsia" w:eastAsia="仿宋_GB2312"/>
          <w:i/>
          <w:kern w:val="0"/>
          <w:sz w:val="28"/>
          <w:szCs w:val="28"/>
        </w:rPr>
        <w:t>K</w:t>
      </w:r>
      <w:r>
        <w:rPr>
          <w:rFonts w:hint="eastAsia" w:eastAsia="仿宋_GB2312"/>
          <w:i/>
          <w:kern w:val="0"/>
          <w:sz w:val="28"/>
          <w:szCs w:val="28"/>
          <w:vertAlign w:val="subscript"/>
        </w:rPr>
        <w:t>B，n</w:t>
      </w:r>
      <w:r>
        <w:rPr>
          <w:rFonts w:hint="eastAsia" w:eastAsia="仿宋_GB2312"/>
          <w:i/>
          <w:kern w:val="0"/>
          <w:sz w:val="28"/>
          <w:szCs w:val="28"/>
        </w:rPr>
        <w:t>—</w:t>
      </w:r>
      <w:r>
        <w:rPr>
          <w:rFonts w:hint="eastAsia" w:eastAsia="仿宋_GB2312"/>
          <w:kern w:val="0"/>
          <w:sz w:val="28"/>
          <w:szCs w:val="28"/>
        </w:rPr>
        <w:t>根据部品应用比例所得分值</w:t>
      </w:r>
      <w:r>
        <w:rPr>
          <w:rFonts w:hint="eastAsia" w:ascii="仿宋_GB2312" w:eastAsia="仿宋_GB2312"/>
          <w:kern w:val="0"/>
          <w:sz w:val="28"/>
          <w:szCs w:val="28"/>
        </w:rPr>
        <w:t>。</w:t>
      </w:r>
    </w:p>
    <w:p>
      <w:pPr>
        <w:kinsoku w:val="0"/>
        <w:overflowPunct w:val="0"/>
        <w:spacing w:before="120"/>
        <w:jc w:val="center"/>
        <w:rPr>
          <w:rFonts w:eastAsia="仿宋_GB2312"/>
          <w:b/>
          <w:bCs/>
          <w:szCs w:val="28"/>
        </w:rPr>
      </w:pPr>
      <w:r>
        <w:rPr>
          <w:rFonts w:eastAsia="仿宋_GB2312"/>
          <w:b/>
          <w:bCs/>
          <w:szCs w:val="28"/>
        </w:rPr>
        <w:t>表3-1  部品应用比例取值表</w:t>
      </w:r>
    </w:p>
    <w:tbl>
      <w:tblPr>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Pr>
      <w:tblGrid>
        <w:gridCol w:w="769"/>
        <w:gridCol w:w="2450"/>
        <w:gridCol w:w="1276"/>
        <w:gridCol w:w="2693"/>
        <w:gridCol w:w="1559"/>
      </w:tblGrid>
      <w:tr>
        <w:trPr>
          <w:trHeight w:val="567" w:hRule="atLeast"/>
          <w:tblHeader/>
          <w:jc w:val="center"/>
        </w:trPr>
        <w:tc>
          <w:tcPr>
            <w:tcW w:w="769" w:type="dxa"/>
            <w:shd w:val="pct10" w:color="auto" w:fill="auto"/>
            <w:vAlign w:val="center"/>
          </w:tcPr>
          <w:p>
            <w:pPr>
              <w:pStyle w:val="15"/>
              <w:kinsoku w:val="0"/>
              <w:overflowPunct w:val="0"/>
              <w:jc w:val="center"/>
              <w:rPr>
                <w:rFonts w:ascii="Times New Roman" w:hAnsi="Times New Roman" w:eastAsia="仿宋_GB2312" w:cs="Times New Roman"/>
                <w:b/>
              </w:rPr>
            </w:pPr>
            <w:r>
              <w:rPr>
                <w:rFonts w:ascii="Times New Roman" w:hAnsi="Times New Roman" w:eastAsia="仿宋_GB2312" w:cs="Times New Roman"/>
                <w:b/>
              </w:rPr>
              <w:t>序号</w:t>
            </w:r>
          </w:p>
        </w:tc>
        <w:tc>
          <w:tcPr>
            <w:tcW w:w="2450" w:type="dxa"/>
            <w:shd w:val="pct10" w:color="auto" w:fill="auto"/>
            <w:vAlign w:val="center"/>
          </w:tcPr>
          <w:p>
            <w:pPr>
              <w:pStyle w:val="15"/>
              <w:kinsoku w:val="0"/>
              <w:overflowPunct w:val="0"/>
              <w:jc w:val="center"/>
              <w:rPr>
                <w:rFonts w:ascii="Times New Roman" w:hAnsi="Times New Roman" w:eastAsia="仿宋_GB2312" w:cs="Times New Roman"/>
                <w:b/>
              </w:rPr>
            </w:pPr>
            <w:r>
              <w:rPr>
                <w:rFonts w:ascii="Times New Roman" w:hAnsi="Times New Roman" w:eastAsia="仿宋_GB2312" w:cs="Times New Roman"/>
                <w:b/>
              </w:rPr>
              <w:t>计分项</w:t>
            </w:r>
          </w:p>
        </w:tc>
        <w:tc>
          <w:tcPr>
            <w:tcW w:w="1276" w:type="dxa"/>
            <w:shd w:val="pct10" w:color="auto" w:fill="auto"/>
            <w:vAlign w:val="center"/>
          </w:tcPr>
          <w:p>
            <w:pPr>
              <w:pStyle w:val="15"/>
              <w:kinsoku w:val="0"/>
              <w:overflowPunct w:val="0"/>
              <w:jc w:val="center"/>
              <w:rPr>
                <w:rFonts w:ascii="Times New Roman" w:hAnsi="Times New Roman" w:eastAsia="仿宋_GB2312" w:cs="Times New Roman"/>
                <w:b/>
              </w:rPr>
            </w:pPr>
            <w:r>
              <w:rPr>
                <w:rFonts w:ascii="Times New Roman" w:hAnsi="Times New Roman" w:eastAsia="仿宋_GB2312" w:cs="Times New Roman"/>
                <w:b/>
              </w:rPr>
              <w:t>权重分值</w:t>
            </w:r>
          </w:p>
        </w:tc>
        <w:tc>
          <w:tcPr>
            <w:tcW w:w="2693" w:type="dxa"/>
            <w:shd w:val="pct10" w:color="auto" w:fill="auto"/>
            <w:vAlign w:val="center"/>
          </w:tcPr>
          <w:p>
            <w:pPr>
              <w:pStyle w:val="15"/>
              <w:kinsoku w:val="0"/>
              <w:overflowPunct w:val="0"/>
              <w:jc w:val="center"/>
              <w:rPr>
                <w:rFonts w:ascii="Times New Roman" w:hAnsi="Times New Roman" w:eastAsia="仿宋_GB2312" w:cs="Times New Roman"/>
                <w:b/>
              </w:rPr>
            </w:pPr>
            <w:r>
              <w:rPr>
                <w:rFonts w:ascii="Times New Roman" w:hAnsi="Times New Roman" w:eastAsia="仿宋_GB2312" w:cs="Times New Roman"/>
                <w:b/>
              </w:rPr>
              <w:t>应用比例</w:t>
            </w:r>
          </w:p>
        </w:tc>
        <w:tc>
          <w:tcPr>
            <w:tcW w:w="1559" w:type="dxa"/>
            <w:shd w:val="pct10" w:color="auto" w:fill="auto"/>
            <w:vAlign w:val="center"/>
          </w:tcPr>
          <w:p>
            <w:pPr>
              <w:pStyle w:val="15"/>
              <w:kinsoku w:val="0"/>
              <w:overflowPunct w:val="0"/>
              <w:jc w:val="center"/>
              <w:rPr>
                <w:rFonts w:ascii="Times New Roman" w:hAnsi="Times New Roman" w:eastAsia="仿宋_GB2312" w:cs="Times New Roman"/>
                <w:b/>
              </w:rPr>
            </w:pPr>
            <w:r>
              <w:rPr>
                <w:rFonts w:ascii="Times New Roman" w:hAnsi="Times New Roman" w:eastAsia="仿宋_GB2312" w:cs="Times New Roman"/>
                <w:b/>
              </w:rPr>
              <w:t>实际得分</w:t>
            </w:r>
          </w:p>
        </w:tc>
      </w:tr>
      <w:tr>
        <w:trPr>
          <w:trHeight w:val="340" w:hRule="atLeast"/>
          <w:jc w:val="center"/>
        </w:trPr>
        <w:tc>
          <w:tcPr>
            <w:tcW w:w="769"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1</w:t>
            </w:r>
          </w:p>
        </w:tc>
        <w:tc>
          <w:tcPr>
            <w:tcW w:w="2450"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预制内隔墙</w:t>
            </w:r>
          </w:p>
        </w:tc>
        <w:tc>
          <w:tcPr>
            <w:tcW w:w="1276"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9</w:t>
            </w: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50%≤比例＜70%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3~7</w:t>
            </w:r>
            <w:r>
              <w:rPr>
                <w:rFonts w:ascii="Times New Roman" w:hAnsi="Times New Roman" w:eastAsia="仿宋_GB2312" w:cs="Times New Roman"/>
                <w:vertAlign w:val="superscript"/>
              </w:rPr>
              <w:t>*</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2450" w:type="dxa"/>
            <w:vMerge w:val="continue"/>
            <w:vAlign w:val="center"/>
          </w:tcPr>
          <w:p>
            <w:pPr>
              <w:pStyle w:val="15"/>
              <w:kinsoku w:val="0"/>
              <w:overflowPunct w:val="0"/>
              <w:jc w:val="center"/>
              <w:rPr>
                <w:rFonts w:ascii="Times New Roman" w:hAnsi="Times New Roman" w:eastAsia="仿宋_GB2312" w:cs="Times New Roman"/>
              </w:rPr>
            </w:pP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9</w:t>
            </w:r>
          </w:p>
        </w:tc>
      </w:tr>
      <w:tr>
        <w:trPr>
          <w:trHeight w:val="340" w:hRule="atLeast"/>
          <w:jc w:val="center"/>
        </w:trPr>
        <w:tc>
          <w:tcPr>
            <w:tcW w:w="769"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2</w:t>
            </w:r>
          </w:p>
        </w:tc>
        <w:tc>
          <w:tcPr>
            <w:tcW w:w="2450"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集成式厨房</w:t>
            </w:r>
          </w:p>
        </w:tc>
        <w:tc>
          <w:tcPr>
            <w:tcW w:w="1276"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6</w:t>
            </w: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50%≤比例＜70%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3~5</w:t>
            </w:r>
            <w:r>
              <w:rPr>
                <w:rFonts w:ascii="Times New Roman" w:hAnsi="Times New Roman" w:eastAsia="仿宋_GB2312" w:cs="Times New Roman"/>
                <w:vertAlign w:val="superscript"/>
              </w:rPr>
              <w:t>*</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2450" w:type="dxa"/>
            <w:vMerge w:val="continue"/>
            <w:vAlign w:val="center"/>
          </w:tcPr>
          <w:p>
            <w:pPr>
              <w:pStyle w:val="15"/>
              <w:kinsoku w:val="0"/>
              <w:overflowPunct w:val="0"/>
              <w:jc w:val="center"/>
              <w:rPr>
                <w:rFonts w:ascii="Times New Roman" w:hAnsi="Times New Roman" w:eastAsia="仿宋_GB2312" w:cs="Times New Roman"/>
              </w:rPr>
            </w:pP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6</w:t>
            </w:r>
          </w:p>
        </w:tc>
      </w:tr>
      <w:tr>
        <w:trPr>
          <w:trHeight w:val="340" w:hRule="atLeast"/>
          <w:jc w:val="center"/>
        </w:trPr>
        <w:tc>
          <w:tcPr>
            <w:tcW w:w="769"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3</w:t>
            </w:r>
          </w:p>
        </w:tc>
        <w:tc>
          <w:tcPr>
            <w:tcW w:w="2450"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集成式卫生间</w:t>
            </w:r>
          </w:p>
        </w:tc>
        <w:tc>
          <w:tcPr>
            <w:tcW w:w="1276"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6</w:t>
            </w: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50%≤比例＜70%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3~5</w:t>
            </w:r>
            <w:r>
              <w:rPr>
                <w:rFonts w:ascii="Times New Roman" w:hAnsi="Times New Roman" w:eastAsia="仿宋_GB2312" w:cs="Times New Roman"/>
                <w:vertAlign w:val="superscript"/>
              </w:rPr>
              <w:t>*</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2450" w:type="dxa"/>
            <w:vMerge w:val="continue"/>
            <w:vAlign w:val="center"/>
          </w:tcPr>
          <w:p>
            <w:pPr>
              <w:pStyle w:val="15"/>
              <w:kinsoku w:val="0"/>
              <w:overflowPunct w:val="0"/>
              <w:jc w:val="center"/>
              <w:rPr>
                <w:rFonts w:ascii="Times New Roman" w:hAnsi="Times New Roman" w:eastAsia="仿宋_GB2312" w:cs="Times New Roman"/>
              </w:rPr>
            </w:pP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6</w:t>
            </w:r>
          </w:p>
        </w:tc>
      </w:tr>
      <w:tr>
        <w:trPr>
          <w:trHeight w:val="340" w:hRule="atLeast"/>
          <w:jc w:val="center"/>
        </w:trPr>
        <w:tc>
          <w:tcPr>
            <w:tcW w:w="769"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4</w:t>
            </w:r>
          </w:p>
        </w:tc>
        <w:tc>
          <w:tcPr>
            <w:tcW w:w="2450"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集成管道井</w:t>
            </w:r>
          </w:p>
        </w:tc>
        <w:tc>
          <w:tcPr>
            <w:tcW w:w="1276" w:type="dxa"/>
            <w:vMerge w:val="restart"/>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3</w:t>
            </w: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50%≤比例＜70%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2</w:t>
            </w:r>
          </w:p>
        </w:tc>
      </w:tr>
      <w:tr>
        <w:trPr>
          <w:trHeight w:val="340" w:hRule="atLeast"/>
          <w:jc w:val="center"/>
        </w:trPr>
        <w:tc>
          <w:tcPr>
            <w:tcW w:w="769" w:type="dxa"/>
            <w:vMerge w:val="continue"/>
            <w:vAlign w:val="center"/>
          </w:tcPr>
          <w:p>
            <w:pPr>
              <w:pStyle w:val="15"/>
              <w:kinsoku w:val="0"/>
              <w:overflowPunct w:val="0"/>
              <w:jc w:val="center"/>
              <w:rPr>
                <w:rFonts w:ascii="Times New Roman" w:hAnsi="Times New Roman" w:eastAsia="仿宋_GB2312" w:cs="Times New Roman"/>
              </w:rPr>
            </w:pPr>
          </w:p>
        </w:tc>
        <w:tc>
          <w:tcPr>
            <w:tcW w:w="2450" w:type="dxa"/>
            <w:vMerge w:val="continue"/>
            <w:vAlign w:val="center"/>
          </w:tcPr>
          <w:p>
            <w:pPr>
              <w:pStyle w:val="15"/>
              <w:kinsoku w:val="0"/>
              <w:overflowPunct w:val="0"/>
              <w:jc w:val="center"/>
              <w:rPr>
                <w:rFonts w:ascii="Times New Roman" w:hAnsi="Times New Roman" w:eastAsia="仿宋_GB2312" w:cs="Times New Roman"/>
              </w:rPr>
            </w:pPr>
          </w:p>
        </w:tc>
        <w:tc>
          <w:tcPr>
            <w:tcW w:w="1276" w:type="dxa"/>
            <w:vMerge w:val="continue"/>
            <w:vAlign w:val="center"/>
          </w:tcPr>
          <w:p>
            <w:pPr>
              <w:pStyle w:val="15"/>
              <w:kinsoku w:val="0"/>
              <w:overflowPunct w:val="0"/>
              <w:jc w:val="center"/>
              <w:rPr>
                <w:rFonts w:ascii="Times New Roman" w:hAnsi="Times New Roman" w:eastAsia="仿宋_GB2312" w:cs="Times New Roman"/>
              </w:rPr>
            </w:pPr>
          </w:p>
        </w:tc>
        <w:tc>
          <w:tcPr>
            <w:tcW w:w="2693"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color w:val="000000"/>
              </w:rPr>
              <w:t>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3</w:t>
            </w:r>
          </w:p>
        </w:tc>
      </w:tr>
      <w:tr>
        <w:trPr>
          <w:trHeight w:val="340" w:hRule="atLeast"/>
          <w:jc w:val="center"/>
        </w:trPr>
        <w:tc>
          <w:tcPr>
            <w:tcW w:w="76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w:t>
            </w:r>
          </w:p>
        </w:tc>
        <w:tc>
          <w:tcPr>
            <w:tcW w:w="2450"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集成排烟道</w:t>
            </w:r>
          </w:p>
        </w:tc>
        <w:tc>
          <w:tcPr>
            <w:tcW w:w="1276"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1</w:t>
            </w:r>
          </w:p>
        </w:tc>
        <w:tc>
          <w:tcPr>
            <w:tcW w:w="2693" w:type="dxa"/>
            <w:vAlign w:val="center"/>
          </w:tcPr>
          <w:p>
            <w:pPr>
              <w:pStyle w:val="15"/>
              <w:kinsoku w:val="0"/>
              <w:overflowPunct w:val="0"/>
              <w:jc w:val="center"/>
              <w:rPr>
                <w:rFonts w:ascii="Times New Roman" w:hAnsi="Times New Roman" w:eastAsia="仿宋_GB2312" w:cs="Times New Roman"/>
                <w:color w:val="000000"/>
              </w:rPr>
            </w:pPr>
            <w:r>
              <w:rPr>
                <w:rFonts w:ascii="Times New Roman" w:hAnsi="Times New Roman" w:eastAsia="仿宋_GB2312" w:cs="Times New Roman"/>
                <w:color w:val="000000"/>
              </w:rPr>
              <w:t>比例≥70%</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1</w:t>
            </w:r>
          </w:p>
        </w:tc>
      </w:tr>
      <w:tr>
        <w:trPr>
          <w:trHeight w:val="340" w:hRule="atLeast"/>
          <w:jc w:val="center"/>
        </w:trPr>
        <w:tc>
          <w:tcPr>
            <w:tcW w:w="76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6</w:t>
            </w:r>
          </w:p>
        </w:tc>
        <w:tc>
          <w:tcPr>
            <w:tcW w:w="2450"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全装修</w:t>
            </w:r>
          </w:p>
        </w:tc>
        <w:tc>
          <w:tcPr>
            <w:tcW w:w="1276"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w:t>
            </w:r>
          </w:p>
        </w:tc>
        <w:tc>
          <w:tcPr>
            <w:tcW w:w="2693" w:type="dxa"/>
            <w:vAlign w:val="center"/>
          </w:tcPr>
          <w:p>
            <w:pPr>
              <w:pStyle w:val="15"/>
              <w:kinsoku w:val="0"/>
              <w:overflowPunct w:val="0"/>
              <w:jc w:val="center"/>
              <w:rPr>
                <w:rFonts w:ascii="Times New Roman" w:hAnsi="Times New Roman" w:eastAsia="仿宋_GB2312" w:cs="Times New Roman"/>
                <w:color w:val="000000"/>
              </w:rPr>
            </w:pPr>
            <w:r>
              <w:rPr>
                <w:rFonts w:ascii="Times New Roman" w:hAnsi="Times New Roman" w:eastAsia="仿宋_GB2312" w:cs="Times New Roman"/>
                <w:color w:val="000000"/>
              </w:rPr>
              <w:t>—</w:t>
            </w:r>
          </w:p>
        </w:tc>
        <w:tc>
          <w:tcPr>
            <w:tcW w:w="1559" w:type="dxa"/>
            <w:vAlign w:val="center"/>
          </w:tcPr>
          <w:p>
            <w:pPr>
              <w:pStyle w:val="15"/>
              <w:kinsoku w:val="0"/>
              <w:overflowPunct w:val="0"/>
              <w:jc w:val="center"/>
              <w:rPr>
                <w:rFonts w:ascii="Times New Roman" w:hAnsi="Times New Roman" w:eastAsia="仿宋_GB2312" w:cs="Times New Roman"/>
              </w:rPr>
            </w:pPr>
            <w:r>
              <w:rPr>
                <w:rFonts w:ascii="Times New Roman" w:hAnsi="Times New Roman" w:eastAsia="仿宋_GB2312" w:cs="Times New Roman"/>
              </w:rPr>
              <w:t>5</w:t>
            </w:r>
          </w:p>
        </w:tc>
      </w:tr>
    </w:tbl>
    <w:p>
      <w:pPr>
        <w:kinsoku w:val="0"/>
        <w:overflowPunct w:val="0"/>
        <w:spacing w:before="4"/>
        <w:rPr>
          <w:rFonts w:eastAsia="仿宋_GB2312"/>
          <w:bCs/>
          <w:szCs w:val="28"/>
        </w:rPr>
      </w:pPr>
      <w:r>
        <w:rPr>
          <w:rFonts w:eastAsia="仿宋_GB2312"/>
          <w:bCs/>
          <w:szCs w:val="28"/>
        </w:rPr>
        <w:t>注：1、表中带</w:t>
      </w:r>
      <w:r>
        <w:rPr>
          <w:rFonts w:hint="eastAsia" w:ascii="仿宋_GB2312" w:eastAsia="仿宋_GB2312"/>
          <w:bCs/>
          <w:szCs w:val="28"/>
        </w:rPr>
        <w:t>“</w:t>
      </w:r>
      <w:r>
        <w:rPr>
          <w:rFonts w:eastAsia="仿宋_GB2312"/>
          <w:bCs/>
          <w:szCs w:val="28"/>
        </w:rPr>
        <w:t>*</w:t>
      </w:r>
      <w:r>
        <w:rPr>
          <w:rFonts w:hint="eastAsia" w:ascii="仿宋_GB2312" w:eastAsia="仿宋_GB2312"/>
          <w:bCs/>
          <w:szCs w:val="28"/>
        </w:rPr>
        <w:t>”</w:t>
      </w:r>
      <w:r>
        <w:rPr>
          <w:rFonts w:eastAsia="仿宋_GB2312"/>
          <w:bCs/>
          <w:szCs w:val="28"/>
        </w:rPr>
        <w:t>项的分值采用</w:t>
      </w:r>
      <w:r>
        <w:rPr>
          <w:rFonts w:hint="eastAsia" w:ascii="仿宋_GB2312" w:eastAsia="仿宋_GB2312"/>
          <w:bCs/>
          <w:szCs w:val="28"/>
        </w:rPr>
        <w:t>“</w:t>
      </w:r>
      <w:r>
        <w:rPr>
          <w:rFonts w:eastAsia="仿宋_GB2312"/>
          <w:bCs/>
          <w:szCs w:val="28"/>
        </w:rPr>
        <w:t>内插法</w:t>
      </w:r>
      <w:r>
        <w:rPr>
          <w:rFonts w:hint="eastAsia" w:ascii="仿宋_GB2312" w:eastAsia="仿宋_GB2312"/>
          <w:bCs/>
          <w:szCs w:val="28"/>
        </w:rPr>
        <w:t>”</w:t>
      </w:r>
      <w:r>
        <w:rPr>
          <w:rFonts w:eastAsia="仿宋_GB2312"/>
          <w:bCs/>
          <w:szCs w:val="28"/>
        </w:rPr>
        <w:t>计算，计算结果取小数点后两位;</w:t>
      </w:r>
    </w:p>
    <w:p>
      <w:pPr>
        <w:kinsoku w:val="0"/>
        <w:overflowPunct w:val="0"/>
        <w:spacing w:before="4"/>
        <w:ind w:firstLine="480" w:firstLineChars="200"/>
        <w:rPr>
          <w:rFonts w:eastAsia="仿宋_GB2312"/>
          <w:bCs/>
          <w:szCs w:val="28"/>
        </w:rPr>
      </w:pPr>
      <w:r>
        <w:rPr>
          <w:rFonts w:eastAsia="仿宋_GB2312"/>
          <w:bCs/>
          <w:szCs w:val="28"/>
        </w:rPr>
        <w:t>2、对于办公、教育等建筑类型，其功能空间中不包含餐饮厨房的，该项可直接得分。</w:t>
      </w:r>
    </w:p>
    <w:p>
      <w:pPr>
        <w:numPr>
          <w:numId w:val="0"/>
        </w:numPr>
        <w:tabs>
          <w:tab w:val="left" w:pos="709"/>
        </w:tabs>
        <w:outlineLvl w:val="0"/>
        <w:rPr>
          <w:rFonts w:ascii="黑体" w:hAnsi="黑体" w:eastAsia="黑体"/>
          <w:color w:val="333333"/>
          <w:kern w:val="0"/>
          <w:sz w:val="32"/>
          <w:szCs w:val="32"/>
        </w:rPr>
      </w:pPr>
      <w:r>
        <w:rPr>
          <w:rFonts w:hint="eastAsia" w:ascii="黑体" w:hAnsi="黑体" w:eastAsia="黑体"/>
          <w:color w:val="333333"/>
          <w:kern w:val="0"/>
          <w:sz w:val="28"/>
          <w:szCs w:val="28"/>
          <w:lang w:val="en-US" w:eastAsia="zh-CN"/>
        </w:rPr>
        <w:t xml:space="preserve">    </w:t>
      </w:r>
      <w:r>
        <w:rPr>
          <w:rFonts w:hint="eastAsia" w:ascii="黑体" w:hAnsi="黑体" w:eastAsia="黑体"/>
          <w:color w:val="333333"/>
          <w:kern w:val="0"/>
          <w:sz w:val="32"/>
          <w:szCs w:val="32"/>
          <w:lang w:val="en-US" w:eastAsia="zh-CN"/>
        </w:rPr>
        <w:t>四、</w:t>
      </w:r>
      <w:r>
        <w:rPr>
          <w:rFonts w:hint="eastAsia" w:ascii="黑体" w:hAnsi="黑体" w:eastAsia="黑体"/>
          <w:color w:val="333333"/>
          <w:kern w:val="0"/>
          <w:sz w:val="32"/>
          <w:szCs w:val="32"/>
        </w:rPr>
        <w:t>创新率指标分值</w:t>
      </w:r>
      <w:r>
        <w:rPr>
          <w:rFonts w:eastAsia="黑体"/>
          <w:color w:val="333333"/>
          <w:kern w:val="0"/>
          <w:sz w:val="32"/>
          <w:szCs w:val="32"/>
        </w:rPr>
        <w:t>（C）</w:t>
      </w:r>
      <w:r>
        <w:rPr>
          <w:rFonts w:hint="eastAsia" w:eastAsia="黑体"/>
          <w:color w:val="333333"/>
          <w:kern w:val="0"/>
          <w:sz w:val="32"/>
          <w:szCs w:val="32"/>
        </w:rPr>
        <w:t>计算</w:t>
      </w:r>
    </w:p>
    <w:p>
      <w:pPr>
        <w:tabs>
          <w:tab w:val="left" w:pos="709"/>
        </w:tabs>
        <w:ind w:firstLine="560" w:firstLineChars="200"/>
        <w:rPr>
          <w:rFonts w:ascii="仿宋_GB2312" w:hAnsi="Arial" w:eastAsia="仿宋_GB2312"/>
          <w:color w:val="333333"/>
          <w:kern w:val="0"/>
          <w:sz w:val="32"/>
          <w:szCs w:val="32"/>
        </w:rPr>
      </w:pPr>
      <w:r>
        <w:rPr>
          <w:rFonts w:hint="eastAsia" w:ascii="仿宋_GB2312" w:hAnsi="Arial" w:eastAsia="仿宋_GB2312"/>
          <w:color w:val="333333"/>
          <w:kern w:val="0"/>
          <w:sz w:val="32"/>
          <w:szCs w:val="32"/>
        </w:rPr>
        <w:t>创新率指标分值</w:t>
      </w:r>
      <w:r>
        <w:rPr>
          <w:rFonts w:eastAsia="仿宋_GB2312"/>
          <w:color w:val="333333"/>
          <w:kern w:val="0"/>
          <w:sz w:val="32"/>
          <w:szCs w:val="32"/>
        </w:rPr>
        <w:t>（C）</w:t>
      </w:r>
      <w:r>
        <w:rPr>
          <w:rFonts w:hint="eastAsia" w:ascii="仿宋_GB2312" w:hAnsi="Arial" w:eastAsia="仿宋_GB2312"/>
          <w:color w:val="333333"/>
          <w:kern w:val="0"/>
          <w:sz w:val="32"/>
          <w:szCs w:val="32"/>
        </w:rPr>
        <w:t>指装配式建筑建设过程中采用新材料、新工艺、新模式，获得建筑节能和绿色建筑相关认证等而得到的附加得分。</w:t>
      </w:r>
    </w:p>
    <w:p>
      <w:pPr>
        <w:tabs>
          <w:tab w:val="left" w:pos="709"/>
        </w:tabs>
        <w:ind w:firstLine="560" w:firstLineChars="200"/>
        <w:rPr>
          <w:rFonts w:ascii="仿宋_GB2312" w:hAnsi="Arial" w:eastAsia="仿宋_GB2312"/>
          <w:color w:val="333333"/>
          <w:kern w:val="0"/>
          <w:sz w:val="32"/>
          <w:szCs w:val="32"/>
        </w:rPr>
      </w:pPr>
      <w:r>
        <w:rPr>
          <w:rFonts w:hint="eastAsia" w:ascii="仿宋_GB2312" w:hAnsi="Arial" w:eastAsia="仿宋_GB2312"/>
          <w:color w:val="333333"/>
          <w:kern w:val="0"/>
          <w:sz w:val="32"/>
          <w:szCs w:val="32"/>
        </w:rPr>
        <w:t>（1）装配式建筑施工现场主要道路、材料加工区等需进行硬化处理的地面中，采用可再利用铺装地面比例达到30%，得1分；达到60%，得2分；达到90%，得3分。</w:t>
      </w:r>
    </w:p>
    <w:p>
      <w:pPr>
        <w:tabs>
          <w:tab w:val="left" w:pos="709"/>
        </w:tabs>
        <w:ind w:firstLine="560" w:firstLineChars="200"/>
        <w:rPr>
          <w:rFonts w:ascii="仿宋_GB2312" w:hAnsi="Arial" w:eastAsia="仿宋_GB2312"/>
          <w:color w:val="333333"/>
          <w:kern w:val="0"/>
          <w:sz w:val="32"/>
          <w:szCs w:val="32"/>
        </w:rPr>
      </w:pPr>
      <w:r>
        <w:rPr>
          <w:rFonts w:hint="eastAsia" w:ascii="仿宋_GB2312" w:hAnsi="Arial" w:eastAsia="仿宋_GB2312"/>
          <w:color w:val="333333"/>
          <w:kern w:val="0"/>
          <w:sz w:val="32"/>
          <w:szCs w:val="32"/>
        </w:rPr>
        <w:t>（2）装配式建筑采用太阳能光热光伏、地源热泵、空气源热泵等可再生能源与装配式建筑一体化应用，得1分。</w:t>
      </w:r>
    </w:p>
    <w:p>
      <w:pPr>
        <w:tabs>
          <w:tab w:val="left" w:pos="709"/>
        </w:tabs>
        <w:ind w:firstLine="560" w:firstLineChars="200"/>
        <w:rPr>
          <w:rFonts w:hint="eastAsia" w:ascii="仿宋_GB2312" w:hAnsi="Arial" w:eastAsia="仿宋_GB2312"/>
          <w:color w:val="333333"/>
          <w:kern w:val="0"/>
          <w:sz w:val="32"/>
          <w:szCs w:val="32"/>
        </w:rPr>
      </w:pPr>
      <w:r>
        <w:rPr>
          <w:rFonts w:hint="eastAsia" w:ascii="仿宋_GB2312" w:hAnsi="Arial" w:eastAsia="仿宋_GB2312"/>
          <w:color w:val="333333"/>
          <w:kern w:val="0"/>
          <w:sz w:val="32"/>
          <w:szCs w:val="32"/>
        </w:rPr>
        <w:t>（</w:t>
      </w:r>
      <w:r>
        <w:rPr>
          <w:rFonts w:hint="eastAsia" w:ascii="仿宋_GB2312" w:hAnsi="Arial" w:eastAsia="仿宋_GB2312"/>
          <w:color w:val="333333"/>
          <w:kern w:val="0"/>
          <w:sz w:val="32"/>
          <w:szCs w:val="32"/>
          <w:lang w:val="en-US" w:eastAsia="zh-CN"/>
        </w:rPr>
        <w:t>3</w:t>
      </w:r>
      <w:r>
        <w:rPr>
          <w:rFonts w:hint="eastAsia" w:ascii="仿宋_GB2312" w:hAnsi="Arial" w:eastAsia="仿宋_GB2312"/>
          <w:color w:val="333333"/>
          <w:kern w:val="0"/>
          <w:sz w:val="32"/>
          <w:szCs w:val="32"/>
        </w:rPr>
        <w:t>）装配式建筑工程设计、生产运输、施工安装全过程采用以BIM为核心的信息化技术进行全过程控制，得1分。</w:t>
      </w:r>
    </w:p>
    <w:p>
      <w:pPr>
        <w:spacing w:beforeLines="50" w:afterLines="50"/>
        <w:rPr>
          <w:rFonts w:ascii="仿宋_GB2312" w:hAnsi="黑体" w:eastAsia="仿宋_GB2312" w:cs="黑体"/>
          <w:sz w:val="10"/>
          <w:szCs w:val="10"/>
        </w:rPr>
      </w:pPr>
    </w:p>
    <w:sectPr>
      <w:footerReference r:id="rId4" w:type="default"/>
      <w:type w:val="continuous"/>
      <w:pgSz w:w="11906" w:h="16838"/>
      <w:pgMar w:top="1440" w:right="1800" w:bottom="1440" w:left="1800" w:header="851" w:footer="992" w:gutter="0"/>
      <w:cols w:space="720" w:num="1"/>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Times">
    <w:altName w:val="Times New Roman"/>
    <w:panose1 w:val="02020603050405020304"/>
    <w:charset w:val="00"/>
    <w:family w:val="auto"/>
    <w:pitch w:val="default"/>
    <w:sig w:usb0="20002A87" w:usb1="00000000" w:usb2="00000000" w:usb3="00000000" w:csb0="000001FF"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Calibri Light">
    <w:altName w:val="MV Boli"/>
    <w:panose1 w:val="020F0302020204030204"/>
    <w:charset w:val="00"/>
    <w:family w:val="auto"/>
    <w:pitch w:val="default"/>
    <w:sig w:usb0="A00002EF" w:usb1="4000207B" w:usb2="00000000" w:usb3="00000000" w:csb0="0000019F" w:csb1="00000000"/>
  </w:font>
  <w:font w:name="MV Boli">
    <w:panose1 w:val="02000500030200090000"/>
    <w:charset w:val="00"/>
    <w:family w:val="auto"/>
    <w:pitch w:val="default"/>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jc w:val="center"/>
    </w:pPr>
    <w:r>
      <w:fldChar w:fldCharType="begin"/>
    </w:r>
    <w:r>
      <w:instrText xml:space="preserve">PAGE   \* MERGEFORMAT</w:instrText>
    </w:r>
    <w:r>
      <w:fldChar w:fldCharType="separate"/>
    </w:r>
    <w:r>
      <w:rPr>
        <w:lang w:val="zh-CN"/>
      </w:rPr>
      <w:t>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pPr>
      <w:keepNext/>
      <w:keepLines/>
      <w:spacing w:beforeLines="100" w:afterLines="100" w:line="400" w:lineRule="exact"/>
      <w:jc w:val="center"/>
      <w:outlineLvl w:val="0"/>
    </w:pPr>
    <w:rPr>
      <w:rFonts w:eastAsia="黑体"/>
      <w:bCs/>
      <w:kern w:val="44"/>
      <w:sz w:val="28"/>
      <w:szCs w:val="44"/>
    </w:rPr>
  </w:style>
  <w:style w:type="character" w:default="1" w:styleId="4">
    <w:name w:val="Default Paragraph Font"/>
  </w:style>
  <w:style w:type="character" w:customStyle="1" w:styleId="3">
    <w:name w:val="日期 Char"/>
    <w:basedOn w:val="4"/>
    <w:link w:val="5"/>
    <w:semiHidden/>
    <w:rPr>
      <w:rFonts w:ascii="Times New Roman" w:hAnsi="Times New Roman" w:eastAsia="宋体" w:cs="Times New Roman"/>
      <w:kern w:val="2"/>
      <w:sz w:val="24"/>
      <w:szCs w:val="24"/>
    </w:rPr>
  </w:style>
  <w:style w:type="paragraph" w:customStyle="1" w:styleId="5">
    <w:name w:val="Date"/>
    <w:basedOn w:val="1"/>
    <w:next w:val="1"/>
    <w:link w:val="3"/>
    <w:pPr>
      <w:ind w:left="100" w:leftChars="2500"/>
    </w:pPr>
    <w:rPr>
      <w:rFonts w:ascii="Times New Roman" w:hAnsi="Times New Roman" w:eastAsia="宋体" w:cs="Times New Roman"/>
      <w:kern w:val="2"/>
      <w:sz w:val="24"/>
      <w:szCs w:val="24"/>
    </w:rPr>
  </w:style>
  <w:style w:type="paragraph" w:styleId="6">
    <w:name w:val="footer"/>
    <w:basedOn w:val="1"/>
    <w:link w:val="7"/>
    <w:pPr>
      <w:tabs>
        <w:tab w:val="center" w:pos="4153"/>
        <w:tab w:val="right" w:pos="8306"/>
      </w:tabs>
      <w:snapToGrid w:val="0"/>
      <w:spacing w:line="240" w:lineRule="auto"/>
      <w:jc w:val="left"/>
    </w:pPr>
    <w:rPr>
      <w:rFonts w:ascii="Times New Roman" w:hAnsi="Times New Roman" w:eastAsia="宋体" w:cs="Times New Roman"/>
      <w:kern w:val="2"/>
      <w:sz w:val="18"/>
      <w:szCs w:val="18"/>
    </w:rPr>
  </w:style>
  <w:style w:type="character" w:customStyle="1" w:styleId="7">
    <w:name w:val="页脚 Char"/>
    <w:basedOn w:val="4"/>
    <w:link w:val="6"/>
    <w:semiHidden/>
    <w:rPr>
      <w:rFonts w:ascii="Times New Roman" w:hAnsi="Times New Roman" w:eastAsia="宋体" w:cs="Times New Roman"/>
      <w:kern w:val="2"/>
      <w:sz w:val="18"/>
      <w:szCs w:val="18"/>
    </w:rPr>
  </w:style>
  <w:style w:type="paragraph" w:styleId="8">
    <w:name w:val="header"/>
    <w:basedOn w:val="1"/>
    <w:link w:val="9"/>
    <w:pPr>
      <w:pBdr>
        <w:bottom w:val="single" w:color="auto" w:sz="6" w:space="1"/>
      </w:pBdr>
      <w:tabs>
        <w:tab w:val="center" w:pos="4153"/>
        <w:tab w:val="right" w:pos="8306"/>
      </w:tabs>
      <w:snapToGrid w:val="0"/>
      <w:spacing w:line="240" w:lineRule="auto"/>
      <w:jc w:val="center"/>
    </w:pPr>
    <w:rPr>
      <w:rFonts w:ascii="Times New Roman" w:hAnsi="Times New Roman" w:eastAsia="宋体" w:cs="Times New Roman"/>
      <w:kern w:val="2"/>
      <w:sz w:val="18"/>
      <w:szCs w:val="18"/>
    </w:rPr>
  </w:style>
  <w:style w:type="character" w:customStyle="1" w:styleId="9">
    <w:name w:val="页眉 Char"/>
    <w:basedOn w:val="4"/>
    <w:link w:val="8"/>
    <w:semiHidden/>
    <w:rPr>
      <w:rFonts w:ascii="Times New Roman" w:hAnsi="Times New Roman" w:eastAsia="宋体" w:cs="Times New Roman"/>
      <w:kern w:val="2"/>
      <w:sz w:val="18"/>
      <w:szCs w:val="18"/>
    </w:rPr>
  </w:style>
  <w:style w:type="paragraph" w:customStyle="1" w:styleId="10">
    <w:name w:val="批注框文本 Char Char"/>
    <w:basedOn w:val="1"/>
    <w:link w:val="19"/>
    <w:pPr>
      <w:spacing w:line="240" w:lineRule="auto"/>
    </w:pPr>
    <w:rPr>
      <w:rFonts w:ascii="Times New Roman" w:hAnsi="Times New Roman" w:eastAsia="宋体" w:cs="Times New Roman"/>
      <w:kern w:val="2"/>
      <w:sz w:val="18"/>
      <w:szCs w:val="18"/>
    </w:rPr>
  </w:style>
  <w:style w:type="paragraph" w:customStyle="1" w:styleId="11">
    <w:name w:val="列出段落1"/>
    <w:basedOn w:val="1"/>
    <w:pPr>
      <w:ind w:firstLine="420" w:firstLineChars="200"/>
    </w:pPr>
  </w:style>
  <w:style w:type="paragraph" w:customStyle="1" w:styleId="12">
    <w:name w:val="条文"/>
    <w:basedOn w:val="1"/>
    <w:pPr>
      <w:adjustRightInd w:val="0"/>
      <w:spacing w:line="300" w:lineRule="auto"/>
      <w:ind w:firstLine="200" w:firstLineChars="200"/>
      <w:outlineLvl w:val="2"/>
    </w:pPr>
  </w:style>
  <w:style w:type="paragraph" w:customStyle="1" w:styleId="13">
    <w:name w:val="_Style 1"/>
    <w:basedOn w:val="1"/>
    <w:pPr>
      <w:ind w:firstLine="420" w:firstLineChars="200"/>
    </w:pPr>
  </w:style>
  <w:style w:type="paragraph" w:customStyle="1" w:styleId="14">
    <w:name w:val="列出段落2"/>
    <w:basedOn w:val="1"/>
    <w:pPr>
      <w:ind w:firstLine="420" w:firstLineChars="200"/>
    </w:pPr>
  </w:style>
  <w:style w:type="paragraph" w:customStyle="1" w:styleId="15">
    <w:name w:val="Table Paragraph"/>
    <w:basedOn w:val="1"/>
    <w:pPr>
      <w:autoSpaceDE w:val="0"/>
      <w:autoSpaceDN w:val="0"/>
      <w:adjustRightInd w:val="0"/>
      <w:spacing w:line="240" w:lineRule="auto"/>
      <w:jc w:val="left"/>
    </w:pPr>
    <w:rPr>
      <w:rFonts w:ascii="Times" w:hAnsi="Times" w:eastAsia="宋体" w:cs="Times"/>
      <w:kern w:val="0"/>
    </w:rPr>
  </w:style>
  <w:style w:type="paragraph" w:customStyle="1" w:styleId="16">
    <w:name w:val="列出段落3"/>
    <w:basedOn w:val="1"/>
    <w:pPr>
      <w:ind w:firstLine="420" w:firstLineChars="200"/>
    </w:pPr>
  </w:style>
  <w:style w:type="paragraph" w:customStyle="1" w:styleId="17">
    <w:name w:val="List Paragraph"/>
    <w:basedOn w:val="1"/>
    <w:pPr>
      <w:ind w:firstLine="420" w:firstLineChars="200"/>
    </w:pPr>
  </w:style>
  <w:style w:type="paragraph" w:customStyle="1" w:styleId="18">
    <w:name w:val="Char Char Char Char"/>
    <w:basedOn w:val="1"/>
    <w:rPr>
      <w:rFonts w:ascii="Tahoma" w:hAnsi="Tahoma"/>
      <w:szCs w:val="20"/>
    </w:rPr>
  </w:style>
  <w:style w:type="character" w:customStyle="1" w:styleId="19">
    <w:name w:val="批注框文本 Char Char Char Char"/>
    <w:basedOn w:val="4"/>
    <w:link w:val="10"/>
    <w:semiHidden/>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715</Words>
  <Characters>4077</Characters>
  <Lines>33</Lines>
  <Paragraphs>9</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2017-04-11T02:53:00Z</dcterms:created>
  <dc:creator>123</dc:creator>
  <cp:lastPrinted>2017-04-17T11:58:00Z</cp:lastPrinted>
  <dcterms:modified xsi:type="dcterms:W3CDTF">2017-04-20T14:32:21Z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